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0"/>
          <w:szCs w:val="30"/>
          <w:lang w:val="en-US"/>
        </w:rPr>
      </w:pPr>
      <w:bookmarkStart w:id="0" w:name="_GoBack"/>
      <w:bookmarkEnd w:id="0"/>
      <w:r>
        <w:rPr>
          <w:rFonts w:hint="eastAsia"/>
          <w:b/>
          <w:sz w:val="44"/>
          <w:szCs w:val="44"/>
          <w:lang w:val="en-US" w:eastAsia="zh-CN"/>
        </w:rPr>
        <w:t>2018年三水图书馆年度报告</w:t>
      </w:r>
    </w:p>
    <w:p>
      <w:pPr>
        <w:ind w:firstLine="600"/>
        <w:rPr>
          <w:rFonts w:hint="eastAsia" w:ascii="仿宋" w:hAnsi="仿宋" w:eastAsia="仿宋"/>
          <w:sz w:val="32"/>
          <w:szCs w:val="32"/>
        </w:rPr>
      </w:pPr>
    </w:p>
    <w:p>
      <w:pPr>
        <w:ind w:firstLine="560" w:firstLineChars="200"/>
        <w:rPr>
          <w:sz w:val="28"/>
          <w:szCs w:val="28"/>
        </w:rPr>
      </w:pPr>
      <w:r>
        <w:rPr>
          <w:rFonts w:hint="eastAsia" w:ascii="仿宋" w:hAnsi="仿宋" w:eastAsia="仿宋"/>
          <w:sz w:val="28"/>
          <w:szCs w:val="28"/>
        </w:rPr>
        <w:t>2018年以来，为深入贯彻党的十九大精神，以习近平新时代中国特色社会主义思想为指引，进一步推动三水区创建公共文化示范区及全民阅读工作的开展，加强阅读推广活动的联动效应，三水</w:t>
      </w:r>
      <w:r>
        <w:rPr>
          <w:rFonts w:hint="eastAsia" w:ascii="仿宋" w:hAnsi="仿宋" w:eastAsia="仿宋"/>
          <w:sz w:val="28"/>
          <w:szCs w:val="28"/>
          <w:lang w:eastAsia="zh-CN"/>
        </w:rPr>
        <w:t>区</w:t>
      </w:r>
      <w:r>
        <w:rPr>
          <w:rFonts w:hint="eastAsia" w:ascii="仿宋" w:hAnsi="仿宋" w:eastAsia="仿宋"/>
          <w:sz w:val="28"/>
          <w:szCs w:val="28"/>
        </w:rPr>
        <w:t>图书馆</w:t>
      </w:r>
      <w:r>
        <w:rPr>
          <w:rFonts w:hint="eastAsia" w:ascii="仿宋" w:hAnsi="仿宋" w:eastAsia="仿宋"/>
          <w:sz w:val="28"/>
          <w:szCs w:val="28"/>
          <w:lang w:eastAsia="zh-CN"/>
        </w:rPr>
        <w:t>开展了</w:t>
      </w:r>
      <w:r>
        <w:rPr>
          <w:rFonts w:hint="eastAsia" w:ascii="仿宋" w:hAnsi="仿宋" w:eastAsia="仿宋"/>
          <w:sz w:val="28"/>
          <w:szCs w:val="28"/>
        </w:rPr>
        <w:t>广受群众喜爱的</w:t>
      </w:r>
      <w:r>
        <w:rPr>
          <w:rFonts w:hint="eastAsia" w:ascii="仿宋" w:hAnsi="仿宋" w:eastAsia="仿宋"/>
          <w:sz w:val="28"/>
          <w:szCs w:val="28"/>
          <w:lang w:eastAsia="zh-CN"/>
        </w:rPr>
        <w:t>一系列</w:t>
      </w:r>
      <w:r>
        <w:rPr>
          <w:rFonts w:hint="eastAsia" w:ascii="仿宋" w:hAnsi="仿宋" w:eastAsia="仿宋"/>
          <w:sz w:val="28"/>
          <w:szCs w:val="28"/>
        </w:rPr>
        <w:t>特色服务工作。据统计，三水图书馆201</w:t>
      </w:r>
      <w:r>
        <w:rPr>
          <w:rFonts w:hint="default" w:ascii="仿宋" w:hAnsi="仿宋" w:eastAsia="仿宋"/>
          <w:sz w:val="28"/>
          <w:szCs w:val="28"/>
          <w:lang w:val="en-US"/>
        </w:rPr>
        <w:t>8</w:t>
      </w:r>
      <w:r>
        <w:rPr>
          <w:rFonts w:hint="eastAsia" w:ascii="仿宋" w:hAnsi="仿宋" w:eastAsia="仿宋"/>
          <w:sz w:val="28"/>
          <w:szCs w:val="28"/>
        </w:rPr>
        <w:t>年借阅图书</w:t>
      </w:r>
      <w:r>
        <w:rPr>
          <w:rFonts w:hint="eastAsia" w:ascii="仿宋" w:hAnsi="仿宋" w:eastAsia="仿宋"/>
          <w:sz w:val="28"/>
          <w:szCs w:val="28"/>
          <w:lang w:val="en-US" w:eastAsia="zh-CN"/>
        </w:rPr>
        <w:t>30</w:t>
      </w:r>
      <w:r>
        <w:rPr>
          <w:rFonts w:hint="eastAsia" w:ascii="仿宋" w:hAnsi="仿宋" w:eastAsia="仿宋"/>
          <w:sz w:val="28"/>
          <w:szCs w:val="28"/>
        </w:rPr>
        <w:t>万册次，采购新书</w:t>
      </w:r>
      <w:r>
        <w:rPr>
          <w:rFonts w:hint="eastAsia" w:ascii="仿宋" w:hAnsi="仿宋" w:eastAsia="仿宋"/>
          <w:sz w:val="28"/>
          <w:szCs w:val="28"/>
          <w:lang w:val="en-US" w:eastAsia="zh-CN"/>
        </w:rPr>
        <w:t>3万</w:t>
      </w:r>
      <w:r>
        <w:rPr>
          <w:rFonts w:hint="default" w:ascii="仿宋" w:hAnsi="仿宋" w:eastAsia="仿宋"/>
          <w:sz w:val="28"/>
          <w:szCs w:val="28"/>
          <w:lang w:val="en-US" w:eastAsia="zh-CN"/>
        </w:rPr>
        <w:t>3</w:t>
      </w:r>
      <w:r>
        <w:rPr>
          <w:rFonts w:hint="eastAsia" w:ascii="仿宋" w:hAnsi="仿宋" w:eastAsia="仿宋"/>
          <w:sz w:val="28"/>
          <w:szCs w:val="28"/>
          <w:lang w:val="en-US" w:eastAsia="zh-CN"/>
        </w:rPr>
        <w:t>千多</w:t>
      </w:r>
      <w:r>
        <w:rPr>
          <w:rFonts w:hint="eastAsia" w:ascii="仿宋" w:hAnsi="仿宋" w:eastAsia="仿宋"/>
          <w:sz w:val="28"/>
          <w:szCs w:val="28"/>
        </w:rPr>
        <w:t>册，开展各类公益阅读活动1</w:t>
      </w:r>
      <w:r>
        <w:rPr>
          <w:rFonts w:hint="eastAsia" w:ascii="仿宋" w:hAnsi="仿宋" w:eastAsia="仿宋"/>
          <w:sz w:val="28"/>
          <w:szCs w:val="28"/>
          <w:lang w:val="en-US" w:eastAsia="zh-CN"/>
        </w:rPr>
        <w:t>50</w:t>
      </w:r>
      <w:r>
        <w:rPr>
          <w:rFonts w:hint="eastAsia" w:ascii="仿宋" w:hAnsi="仿宋" w:eastAsia="仿宋"/>
          <w:sz w:val="28"/>
          <w:szCs w:val="28"/>
        </w:rPr>
        <w:t>多场次、参与活动读者</w:t>
      </w:r>
      <w:r>
        <w:rPr>
          <w:rFonts w:hint="eastAsia" w:ascii="仿宋" w:hAnsi="仿宋" w:eastAsia="仿宋"/>
          <w:sz w:val="28"/>
          <w:szCs w:val="28"/>
          <w:lang w:val="en-US" w:eastAsia="zh-CN"/>
        </w:rPr>
        <w:t>56</w:t>
      </w:r>
      <w:r>
        <w:rPr>
          <w:rFonts w:hint="eastAsia" w:ascii="仿宋" w:hAnsi="仿宋" w:eastAsia="仿宋"/>
          <w:sz w:val="28"/>
          <w:szCs w:val="28"/>
        </w:rPr>
        <w:t>000多人次；目前在全区设立的“共享工程”基层点111个，流动图书服务站</w:t>
      </w:r>
      <w:r>
        <w:rPr>
          <w:rFonts w:hint="eastAsia" w:ascii="仿宋" w:hAnsi="仿宋" w:eastAsia="仿宋"/>
          <w:sz w:val="28"/>
          <w:szCs w:val="28"/>
          <w:lang w:val="en-US" w:eastAsia="zh-CN"/>
        </w:rPr>
        <w:t>66</w:t>
      </w:r>
      <w:r>
        <w:rPr>
          <w:rFonts w:hint="eastAsia" w:ascii="仿宋" w:hAnsi="仿宋" w:eastAsia="仿宋"/>
          <w:sz w:val="28"/>
          <w:szCs w:val="28"/>
        </w:rPr>
        <w:t>个，汽车流动图书服务网点10个，开办借书证</w:t>
      </w:r>
      <w:r>
        <w:rPr>
          <w:rFonts w:hint="eastAsia" w:ascii="仿宋" w:hAnsi="仿宋" w:eastAsia="仿宋"/>
          <w:sz w:val="28"/>
          <w:szCs w:val="28"/>
          <w:lang w:val="en-US" w:eastAsia="zh-CN"/>
        </w:rPr>
        <w:t>6万</w:t>
      </w:r>
      <w:r>
        <w:rPr>
          <w:rFonts w:hint="eastAsia" w:ascii="仿宋" w:hAnsi="仿宋" w:eastAsia="仿宋"/>
          <w:sz w:val="28"/>
          <w:szCs w:val="28"/>
        </w:rPr>
        <w:t>多个。</w:t>
      </w:r>
    </w:p>
    <w:p>
      <w:pPr>
        <w:ind w:firstLine="560" w:firstLineChars="200"/>
        <w:rPr>
          <w:rFonts w:ascii="仿宋" w:hAnsi="仿宋" w:eastAsia="仿宋"/>
          <w:sz w:val="28"/>
          <w:szCs w:val="28"/>
        </w:rPr>
      </w:pPr>
      <w:r>
        <w:rPr>
          <w:rFonts w:hint="eastAsia" w:ascii="仿宋" w:hAnsi="仿宋" w:eastAsia="仿宋"/>
          <w:sz w:val="28"/>
          <w:szCs w:val="28"/>
        </w:rPr>
        <w:t>现将</w:t>
      </w:r>
      <w:r>
        <w:rPr>
          <w:rFonts w:hint="eastAsia" w:ascii="仿宋" w:hAnsi="仿宋" w:eastAsia="仿宋"/>
          <w:sz w:val="28"/>
          <w:szCs w:val="28"/>
          <w:lang w:val="en-US" w:eastAsia="zh-CN"/>
        </w:rPr>
        <w:t>2018</w:t>
      </w:r>
      <w:r>
        <w:rPr>
          <w:rFonts w:hint="eastAsia" w:ascii="仿宋" w:hAnsi="仿宋" w:eastAsia="仿宋"/>
          <w:sz w:val="28"/>
          <w:szCs w:val="28"/>
        </w:rPr>
        <w:t>年工作开展的情况总结如下：</w:t>
      </w:r>
    </w:p>
    <w:p>
      <w:pPr>
        <w:ind w:firstLine="562" w:firstLineChars="200"/>
        <w:rPr>
          <w:b/>
          <w:sz w:val="28"/>
          <w:szCs w:val="28"/>
        </w:rPr>
      </w:pPr>
      <w:r>
        <w:rPr>
          <w:rFonts w:hint="eastAsia"/>
          <w:b/>
          <w:sz w:val="28"/>
          <w:szCs w:val="28"/>
        </w:rPr>
        <w:t>一、</w:t>
      </w:r>
      <w:r>
        <w:rPr>
          <w:rFonts w:hint="eastAsia"/>
          <w:b/>
          <w:sz w:val="28"/>
          <w:szCs w:val="28"/>
          <w:lang w:val="en-US" w:eastAsia="zh-CN"/>
        </w:rPr>
        <w:t>2018年</w:t>
      </w:r>
      <w:r>
        <w:rPr>
          <w:rFonts w:hint="eastAsia"/>
          <w:b/>
          <w:sz w:val="28"/>
          <w:szCs w:val="28"/>
        </w:rPr>
        <w:t>工作</w:t>
      </w:r>
      <w:r>
        <w:rPr>
          <w:rFonts w:hint="eastAsia"/>
          <w:b/>
          <w:sz w:val="28"/>
          <w:szCs w:val="28"/>
          <w:lang w:eastAsia="zh-CN"/>
        </w:rPr>
        <w:t>总结</w:t>
      </w:r>
    </w:p>
    <w:p>
      <w:pPr>
        <w:numPr>
          <w:ilvl w:val="0"/>
          <w:numId w:val="0"/>
        </w:numPr>
        <w:ind w:firstLine="562" w:firstLineChars="200"/>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（一）全力创建全国公共文化服务体系示范区</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_GB2312" w:eastAsia="仿宋_GB2312"/>
          <w:b/>
          <w:bCs/>
          <w:sz w:val="28"/>
          <w:szCs w:val="28"/>
          <w:lang w:val="en-US" w:eastAsia="zh-CN"/>
        </w:rPr>
        <w:t>建立总分馆制 资源整合及联动效应彰显</w:t>
      </w:r>
    </w:p>
    <w:p>
      <w:pPr>
        <w:ind w:firstLine="560" w:firstLineChars="200"/>
        <w:rPr>
          <w:rFonts w:hint="eastAsia" w:ascii="仿宋" w:hAnsi="仿宋" w:eastAsia="仿宋"/>
          <w:sz w:val="28"/>
          <w:szCs w:val="28"/>
        </w:rPr>
      </w:pPr>
      <w:r>
        <w:rPr>
          <w:rFonts w:hint="eastAsia" w:ascii="仿宋" w:hAnsi="仿宋" w:eastAsia="仿宋"/>
          <w:sz w:val="28"/>
          <w:szCs w:val="28"/>
        </w:rPr>
        <w:t>三水区图书馆总分馆制建设坚持“政府主导，社会参与”原则，通过建立有效机制，保证总分馆的可持续发展。到目前为止，三水区图书馆总分馆已形成了以区馆为总馆，各镇（街道）综合文化站为分馆、村(社区)综合性文化服务中心为服务点的服务体系。其中，总馆1个，分馆</w:t>
      </w:r>
      <w:r>
        <w:rPr>
          <w:rFonts w:hint="eastAsia" w:ascii="仿宋" w:hAnsi="仿宋" w:eastAsia="仿宋"/>
          <w:sz w:val="28"/>
          <w:szCs w:val="28"/>
          <w:lang w:val="en-US" w:eastAsia="zh-CN"/>
        </w:rPr>
        <w:t>7</w:t>
      </w:r>
      <w:r>
        <w:rPr>
          <w:rFonts w:hint="eastAsia" w:ascii="仿宋" w:hAnsi="仿宋" w:eastAsia="仿宋"/>
          <w:sz w:val="28"/>
          <w:szCs w:val="28"/>
        </w:rPr>
        <w:t>个，服务点21个。</w:t>
      </w:r>
    </w:p>
    <w:p>
      <w:pPr>
        <w:ind w:firstLine="562" w:firstLineChars="200"/>
        <w:rPr>
          <w:rFonts w:hint="eastAsia" w:ascii="仿宋" w:hAnsi="仿宋" w:eastAsia="仿宋"/>
          <w:sz w:val="28"/>
          <w:szCs w:val="28"/>
        </w:rPr>
      </w:pPr>
      <w:r>
        <w:rPr>
          <w:rFonts w:hint="eastAsia" w:ascii="仿宋" w:hAnsi="仿宋" w:eastAsia="仿宋"/>
          <w:b/>
          <w:bCs/>
          <w:sz w:val="28"/>
          <w:szCs w:val="28"/>
          <w:lang w:val="en-US" w:eastAsia="zh-CN"/>
        </w:rPr>
        <w:t>(1)扩大体系。</w:t>
      </w:r>
      <w:r>
        <w:rPr>
          <w:rFonts w:hint="eastAsia" w:ascii="仿宋" w:hAnsi="仿宋" w:eastAsia="仿宋"/>
          <w:sz w:val="28"/>
          <w:szCs w:val="28"/>
        </w:rPr>
        <w:t>在总分馆制开始建设后，南山镇迅速启动了加入佛山市联合图书馆的程序。作为总馆的区图书馆积极发挥总馆的业务指导、技术支撑及资源共享为南山镇送设备和书架，指导编目入藏、图书上架和工作人员培训。南山镇图书馆在不足一个月的时间内完成了多年以来悬而不解的建设任务,得以加入佛山市联合图书馆,并顺理成章地作为分馆加入到三水区图书馆总分馆体系里。</w:t>
      </w:r>
    </w:p>
    <w:p>
      <w:pPr>
        <w:ind w:firstLine="562" w:firstLineChars="200"/>
        <w:rPr>
          <w:rFonts w:hint="eastAsia" w:ascii="仿宋" w:hAnsi="仿宋" w:eastAsia="仿宋"/>
          <w:sz w:val="28"/>
          <w:szCs w:val="28"/>
        </w:rPr>
      </w:pPr>
      <w:r>
        <w:rPr>
          <w:rFonts w:hint="eastAsia" w:ascii="仿宋" w:hAnsi="仿宋" w:eastAsia="仿宋"/>
          <w:b/>
          <w:bCs/>
          <w:sz w:val="28"/>
          <w:szCs w:val="28"/>
          <w:lang w:val="en-US" w:eastAsia="zh-CN"/>
        </w:rPr>
        <w:t>(2)加大了人员培训与实地指导的力度。</w:t>
      </w:r>
      <w:r>
        <w:rPr>
          <w:rFonts w:hint="eastAsia" w:ascii="仿宋" w:hAnsi="仿宋" w:eastAsia="仿宋"/>
          <w:sz w:val="28"/>
          <w:szCs w:val="28"/>
        </w:rPr>
        <w:t>总分馆制自今年三月底建立以来，总馆已为分馆及服务点工作人员举办</w:t>
      </w:r>
      <w:r>
        <w:rPr>
          <w:rFonts w:hint="eastAsia" w:ascii="仿宋" w:hAnsi="仿宋" w:eastAsia="仿宋"/>
          <w:sz w:val="28"/>
          <w:szCs w:val="28"/>
          <w:lang w:eastAsia="zh-CN"/>
        </w:rPr>
        <w:t>六</w:t>
      </w:r>
      <w:r>
        <w:rPr>
          <w:rFonts w:hint="eastAsia" w:ascii="仿宋" w:hAnsi="仿宋" w:eastAsia="仿宋"/>
          <w:sz w:val="28"/>
          <w:szCs w:val="28"/>
        </w:rPr>
        <w:t>期培训班，并数次派出工作人员到分馆、服务点、社区、村委进行实地指导。</w:t>
      </w:r>
    </w:p>
    <w:p>
      <w:pPr>
        <w:ind w:firstLine="562" w:firstLineChars="200"/>
        <w:rPr>
          <w:rFonts w:hint="eastAsia" w:ascii="仿宋" w:hAnsi="仿宋" w:eastAsia="仿宋"/>
          <w:sz w:val="28"/>
          <w:szCs w:val="28"/>
          <w:lang w:val="en-US" w:eastAsia="zh-CN"/>
        </w:rPr>
      </w:pPr>
      <w:r>
        <w:rPr>
          <w:rFonts w:hint="eastAsia" w:ascii="仿宋" w:hAnsi="仿宋" w:eastAsia="仿宋"/>
          <w:b/>
          <w:bCs/>
          <w:sz w:val="28"/>
          <w:szCs w:val="28"/>
          <w:lang w:val="en-US" w:eastAsia="zh-CN"/>
        </w:rPr>
        <w:t>(3)阅读推广活动联动，实现效益提升。</w:t>
      </w:r>
      <w:r>
        <w:rPr>
          <w:rFonts w:hint="eastAsia" w:ascii="仿宋" w:hAnsi="仿宋" w:eastAsia="仿宋"/>
          <w:sz w:val="28"/>
          <w:szCs w:val="28"/>
        </w:rPr>
        <w:t>世界读书日期间，总馆在商场、社区、学校举办了多种形式的阅读推广及图书借阅活动。总馆借助这些阅读活动与西南街道图书馆实行联动，在该分馆组织了近千册的图书，供市民在参加活动的同时，还可现</w:t>
      </w:r>
      <w:r>
        <w:rPr>
          <w:rFonts w:hint="eastAsia" w:ascii="仿宋" w:hAnsi="仿宋" w:eastAsia="仿宋"/>
          <w:sz w:val="28"/>
          <w:szCs w:val="28"/>
          <w:lang w:val="en-US" w:eastAsia="zh-CN"/>
        </w:rPr>
        <w:t>场借阅图书。这也是今年3月底总分馆制建立以来整合资源、加强联动效应的一次很好的体现。这次的联动效果很好，现场读者的反响让我们坚定了今后依托阅读推广活动的联动来提升各分馆及服务点的借阅和办证量的方向。</w:t>
      </w:r>
    </w:p>
    <w:p>
      <w:pPr>
        <w:numPr>
          <w:ilvl w:val="0"/>
          <w:numId w:val="0"/>
        </w:numPr>
        <w:ind w:firstLine="562" w:firstLineChars="200"/>
        <w:jc w:val="left"/>
        <w:rPr>
          <w:rFonts w:hint="default" w:ascii="仿宋_GB2312" w:eastAsia="仿宋_GB2312"/>
          <w:b/>
          <w:bCs/>
          <w:sz w:val="28"/>
          <w:szCs w:val="28"/>
          <w:lang w:val="en-US" w:eastAsia="zh-CN"/>
        </w:rPr>
      </w:pPr>
      <w:r>
        <w:rPr>
          <w:rFonts w:hint="eastAsia" w:ascii="仿宋" w:hAnsi="仿宋" w:eastAsia="仿宋"/>
          <w:b/>
          <w:bCs/>
          <w:sz w:val="28"/>
          <w:szCs w:val="28"/>
          <w:lang w:val="en-US" w:eastAsia="zh-CN"/>
        </w:rPr>
        <w:t>2、</w:t>
      </w:r>
      <w:r>
        <w:rPr>
          <w:rFonts w:hint="eastAsia" w:ascii="仿宋_GB2312" w:eastAsia="仿宋_GB2312"/>
          <w:b/>
          <w:bCs/>
          <w:sz w:val="28"/>
          <w:szCs w:val="28"/>
          <w:lang w:val="en-US" w:eastAsia="zh-CN"/>
        </w:rPr>
        <w:t>力推全民阅读 书香满淼城</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(1）科普引领亲子阅读</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“我是小小科学家”科技周是三水区图书馆今年的创新项目，</w:t>
      </w:r>
      <w:r>
        <w:rPr>
          <w:rFonts w:hint="eastAsia" w:ascii="仿宋" w:hAnsi="仿宋" w:eastAsia="仿宋"/>
          <w:sz w:val="28"/>
          <w:szCs w:val="28"/>
        </w:rPr>
        <w:t>是“快乐暑期”系列活动的重头戏</w:t>
      </w:r>
      <w:r>
        <w:rPr>
          <w:rFonts w:hint="eastAsia" w:ascii="仿宋" w:hAnsi="仿宋" w:eastAsia="仿宋"/>
          <w:sz w:val="28"/>
          <w:szCs w:val="28"/>
          <w:lang w:eastAsia="zh-CN"/>
        </w:rPr>
        <w:t>，</w:t>
      </w:r>
      <w:r>
        <w:rPr>
          <w:rFonts w:hint="eastAsia" w:ascii="仿宋" w:hAnsi="仿宋" w:eastAsia="仿宋"/>
          <w:sz w:val="28"/>
          <w:szCs w:val="28"/>
          <w:lang w:val="en-US" w:eastAsia="zh-CN"/>
        </w:rPr>
        <w:t>也是三水区创建国家公共文化服务体系示范区系列文化活动之一。每期活动为期六天，两期活动共十二天，共吸引了二百多名家长及学生参加。活动受到学生及家长的热捧和认可。</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“我是小小科学家”科技周</w:t>
      </w:r>
      <w:r>
        <w:rPr>
          <w:rFonts w:hint="eastAsia" w:ascii="仿宋" w:hAnsi="仿宋" w:eastAsia="仿宋"/>
          <w:sz w:val="28"/>
          <w:szCs w:val="28"/>
          <w:lang w:eastAsia="zh-CN"/>
        </w:rPr>
        <w:t>活动</w:t>
      </w:r>
      <w:r>
        <w:rPr>
          <w:rFonts w:hint="eastAsia" w:ascii="仿宋" w:hAnsi="仿宋" w:eastAsia="仿宋"/>
          <w:sz w:val="28"/>
          <w:szCs w:val="28"/>
        </w:rPr>
        <w:t>不仅融入</w:t>
      </w:r>
      <w:r>
        <w:rPr>
          <w:rFonts w:hint="eastAsia" w:ascii="仿宋" w:hAnsi="仿宋" w:eastAsia="仿宋"/>
          <w:sz w:val="28"/>
          <w:szCs w:val="28"/>
          <w:lang w:eastAsia="zh-CN"/>
        </w:rPr>
        <w:t>未来趋势的人工智能、创客、</w:t>
      </w:r>
      <w:r>
        <w:rPr>
          <w:rFonts w:hint="eastAsia" w:ascii="仿宋" w:hAnsi="仿宋" w:eastAsia="仿宋"/>
          <w:sz w:val="28"/>
          <w:szCs w:val="28"/>
        </w:rPr>
        <w:t>科技创新的元素，还以亲子互动的形式登场，通过机器人、无人机、3D打印等科学秀向孩子们展示科学奥秘，激发孩子们的好奇心</w:t>
      </w:r>
      <w:r>
        <w:rPr>
          <w:rFonts w:hint="eastAsia" w:ascii="仿宋" w:hAnsi="仿宋" w:eastAsia="仿宋"/>
          <w:sz w:val="28"/>
          <w:szCs w:val="28"/>
          <w:lang w:eastAsia="zh-CN"/>
        </w:rPr>
        <w:t>。</w:t>
      </w:r>
      <w:r>
        <w:rPr>
          <w:rFonts w:hint="eastAsia" w:ascii="仿宋" w:hAnsi="仿宋" w:eastAsia="仿宋"/>
          <w:sz w:val="28"/>
          <w:szCs w:val="28"/>
        </w:rPr>
        <w:t>“我是小小科学家”</w:t>
      </w:r>
      <w:r>
        <w:rPr>
          <w:rFonts w:hint="eastAsia" w:ascii="仿宋" w:hAnsi="仿宋" w:eastAsia="仿宋"/>
          <w:sz w:val="28"/>
          <w:szCs w:val="28"/>
          <w:lang w:eastAsia="zh-CN"/>
        </w:rPr>
        <w:t>一周</w:t>
      </w:r>
      <w:r>
        <w:rPr>
          <w:rFonts w:hint="eastAsia" w:ascii="仿宋" w:hAnsi="仿宋" w:eastAsia="仿宋"/>
          <w:sz w:val="28"/>
          <w:szCs w:val="28"/>
        </w:rPr>
        <w:t>课程的设置将玩与学结合，</w:t>
      </w:r>
      <w:r>
        <w:rPr>
          <w:rFonts w:hint="eastAsia" w:ascii="仿宋" w:hAnsi="仿宋" w:eastAsia="仿宋"/>
          <w:sz w:val="28"/>
          <w:szCs w:val="28"/>
          <w:lang w:val="en-US" w:eastAsia="zh-CN"/>
        </w:rPr>
        <w:t>用孩子们最喜欢的游戏互动形式将知识、技能融入游玩中，让孩子们在实践中感受、学习、掌握科学知识，培养孩子们创新能力、动手能力、团队精神。</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此外，</w:t>
      </w:r>
      <w:r>
        <w:rPr>
          <w:rFonts w:hint="eastAsia" w:ascii="仿宋" w:hAnsi="仿宋" w:eastAsia="仿宋"/>
          <w:sz w:val="28"/>
          <w:szCs w:val="28"/>
        </w:rPr>
        <w:t>我馆</w:t>
      </w:r>
      <w:r>
        <w:rPr>
          <w:rFonts w:hint="eastAsia" w:ascii="仿宋" w:hAnsi="仿宋" w:eastAsia="仿宋"/>
          <w:sz w:val="28"/>
          <w:szCs w:val="28"/>
          <w:lang w:eastAsia="zh-CN"/>
        </w:rPr>
        <w:t>分别在馆内外</w:t>
      </w:r>
      <w:r>
        <w:rPr>
          <w:rFonts w:hint="eastAsia" w:ascii="仿宋" w:hAnsi="仿宋" w:eastAsia="仿宋"/>
          <w:sz w:val="28"/>
          <w:szCs w:val="28"/>
        </w:rPr>
        <w:t>举办</w:t>
      </w:r>
      <w:r>
        <w:rPr>
          <w:rFonts w:hint="eastAsia" w:ascii="仿宋" w:hAnsi="仿宋" w:eastAsia="仿宋"/>
          <w:sz w:val="28"/>
          <w:szCs w:val="28"/>
          <w:lang w:eastAsia="zh-CN"/>
        </w:rPr>
        <w:t>了多</w:t>
      </w:r>
      <w:r>
        <w:rPr>
          <w:rFonts w:hint="eastAsia" w:ascii="仿宋" w:hAnsi="仿宋" w:eastAsia="仿宋"/>
          <w:sz w:val="28"/>
          <w:szCs w:val="28"/>
        </w:rPr>
        <w:t>场</w:t>
      </w:r>
      <w:r>
        <w:rPr>
          <w:rFonts w:hint="eastAsia" w:ascii="仿宋" w:hAnsi="仿宋" w:eastAsia="仿宋"/>
          <w:sz w:val="28"/>
          <w:szCs w:val="28"/>
          <w:lang w:eastAsia="zh-CN"/>
        </w:rPr>
        <w:t>亲子阅读</w:t>
      </w:r>
      <w:r>
        <w:rPr>
          <w:rFonts w:hint="eastAsia" w:ascii="仿宋" w:hAnsi="仿宋" w:eastAsia="仿宋"/>
          <w:sz w:val="28"/>
          <w:szCs w:val="28"/>
        </w:rPr>
        <w:t>活动，</w:t>
      </w:r>
      <w:r>
        <w:rPr>
          <w:rFonts w:hint="eastAsia" w:ascii="仿宋" w:hAnsi="仿宋" w:eastAsia="仿宋"/>
          <w:sz w:val="28"/>
          <w:szCs w:val="28"/>
          <w:lang w:eastAsia="zh-CN"/>
        </w:rPr>
        <w:t>既有趣味的点读绘本又有</w:t>
      </w:r>
      <w:r>
        <w:rPr>
          <w:rFonts w:hint="eastAsia" w:ascii="仿宋" w:hAnsi="仿宋" w:eastAsia="仿宋"/>
          <w:sz w:val="28"/>
          <w:szCs w:val="28"/>
          <w:lang w:val="en-US" w:eastAsia="zh-CN"/>
        </w:rPr>
        <w:t>融入绘画及科学知识的创客科技，通过讲绘本、演绘本、玩游戏、做手工、科学小制作及小实验，</w:t>
      </w:r>
      <w:r>
        <w:rPr>
          <w:rFonts w:hint="eastAsia" w:ascii="仿宋" w:hAnsi="仿宋" w:eastAsia="仿宋"/>
          <w:sz w:val="28"/>
          <w:szCs w:val="28"/>
        </w:rPr>
        <w:t>为</w:t>
      </w:r>
      <w:r>
        <w:rPr>
          <w:rFonts w:hint="eastAsia" w:ascii="仿宋" w:hAnsi="仿宋" w:eastAsia="仿宋"/>
          <w:sz w:val="28"/>
          <w:szCs w:val="28"/>
          <w:lang w:eastAsia="zh-CN"/>
        </w:rPr>
        <w:t>家长和小朋友</w:t>
      </w:r>
      <w:r>
        <w:rPr>
          <w:rFonts w:hint="eastAsia" w:ascii="仿宋" w:hAnsi="仿宋" w:eastAsia="仿宋"/>
          <w:sz w:val="28"/>
          <w:szCs w:val="28"/>
        </w:rPr>
        <w:t>带来一场</w:t>
      </w:r>
      <w:r>
        <w:rPr>
          <w:rFonts w:hint="eastAsia" w:ascii="仿宋" w:hAnsi="仿宋" w:eastAsia="仿宋"/>
          <w:sz w:val="28"/>
          <w:szCs w:val="28"/>
          <w:lang w:eastAsia="zh-CN"/>
        </w:rPr>
        <w:t>场</w:t>
      </w:r>
      <w:r>
        <w:rPr>
          <w:rFonts w:hint="eastAsia" w:ascii="仿宋" w:hAnsi="仿宋" w:eastAsia="仿宋"/>
          <w:sz w:val="28"/>
          <w:szCs w:val="28"/>
        </w:rPr>
        <w:t>简单易懂的趣味</w:t>
      </w:r>
      <w:r>
        <w:rPr>
          <w:rFonts w:hint="eastAsia" w:ascii="仿宋" w:hAnsi="仿宋" w:eastAsia="仿宋"/>
          <w:sz w:val="28"/>
          <w:szCs w:val="28"/>
          <w:lang w:eastAsia="zh-CN"/>
        </w:rPr>
        <w:t>亲子</w:t>
      </w:r>
      <w:r>
        <w:rPr>
          <w:rFonts w:hint="eastAsia" w:ascii="仿宋" w:hAnsi="仿宋" w:eastAsia="仿宋"/>
          <w:sz w:val="28"/>
          <w:szCs w:val="28"/>
        </w:rPr>
        <w:t>阅读活动</w:t>
      </w:r>
      <w:r>
        <w:rPr>
          <w:rFonts w:hint="eastAsia" w:ascii="仿宋" w:hAnsi="仿宋" w:eastAsia="仿宋"/>
          <w:sz w:val="28"/>
          <w:szCs w:val="28"/>
          <w:lang w:eastAsia="zh-CN"/>
        </w:rPr>
        <w:t>，同时</w:t>
      </w:r>
      <w:r>
        <w:rPr>
          <w:rFonts w:hint="eastAsia" w:ascii="仿宋" w:hAnsi="仿宋" w:eastAsia="仿宋"/>
          <w:sz w:val="28"/>
          <w:szCs w:val="28"/>
          <w:lang w:val="en-US" w:eastAsia="zh-CN"/>
        </w:rPr>
        <w:t>培养小朋友的阅读兴趣，帮助他们从小养成良好的阅读习惯。</w:t>
      </w:r>
      <w:r>
        <w:rPr>
          <w:rFonts w:hint="eastAsia" w:ascii="仿宋" w:hAnsi="仿宋" w:eastAsia="仿宋"/>
          <w:sz w:val="28"/>
          <w:szCs w:val="28"/>
          <w:lang w:eastAsia="zh-CN"/>
        </w:rPr>
        <w:t>我馆除了在馆内不定期举办亲子阅读活动外，还将点读绘本资源送到白坭智能文化家及区内各幼儿园进行流动阅读，现已流动到区内十家幼儿园，参与活动人次约</w:t>
      </w:r>
      <w:r>
        <w:rPr>
          <w:rFonts w:hint="eastAsia" w:ascii="仿宋" w:hAnsi="仿宋" w:eastAsia="仿宋"/>
          <w:sz w:val="28"/>
          <w:szCs w:val="28"/>
          <w:lang w:val="en-US" w:eastAsia="zh-CN"/>
        </w:rPr>
        <w:t>25</w:t>
      </w:r>
      <w:r>
        <w:rPr>
          <w:rFonts w:hint="eastAsia" w:ascii="仿宋" w:hAnsi="仿宋" w:eastAsia="仿宋"/>
          <w:sz w:val="28"/>
          <w:szCs w:val="28"/>
          <w:lang w:eastAsia="zh-CN"/>
        </w:rPr>
        <w:t>00人次，此举受到各幼儿园欢迎，也得到上级部门的肯定。</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（2）新书专题满足多元化阅读</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由于上级部门对创建公共文化示范区的重视，今年局给我馆加拨了84.24万的购书经费，使我馆得以策划多个新书专题，满足各个读者群体的多元化阅读，特别是少年儿童读者群体。新书专题包括：“习近平新时代讲义系列专题、足球专题书籍阅读专区”、“2018广东省公共图书馆童书推荐图书专题”、“暑假读一本好书”、“2017年度童书30强”、“教育部推荐小学课外阅读专题”、“初中阶段课外阅读专题”、“高中生课外阅读专题”、金庸作品专架等。在七、八月期间共推出新书11245册，但仍供不应求，特别是少儿图书，每次新书上架，几天之内基本借空。进馆人数由平时的3.6万人次增加到七月4.3万人、八月5.2万人次。</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（3）温暖阅读关爱弱势群体</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考虑到残障人士阅读群体的需要，我馆还与残联合作，在我馆每月为残障人士开设一期主题阅读会，如书法画画、养生保健、自然科学、生活常识、法律法规、电影欣赏等，每星期举办一期电脑培训班。合作从今年七月份开始，到目前为止共举办了十七期的活动，其中包括四期主题阅读会，十三期电脑培训班，参与活动</w:t>
      </w:r>
      <w:r>
        <w:rPr>
          <w:rFonts w:hint="eastAsia" w:ascii="仿宋" w:hAnsi="仿宋" w:eastAsia="仿宋"/>
          <w:sz w:val="28"/>
          <w:szCs w:val="28"/>
          <w:lang w:val="en-US" w:eastAsia="zh-CN"/>
        </w:rPr>
        <w:t>430人次。</w:t>
      </w:r>
      <w:r>
        <w:rPr>
          <w:rFonts w:hint="eastAsia" w:ascii="仿宋" w:hAnsi="仿宋" w:eastAsia="仿宋"/>
          <w:sz w:val="28"/>
          <w:szCs w:val="28"/>
          <w:lang w:eastAsia="zh-CN"/>
        </w:rPr>
        <w:t>我们希望通过这些活动，提高残障人士适应社会的能力，让他们更好地投入社会。</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另外，我馆与西南天润长者定制公寓联合建立的"关爱老年人阅读伴健康"流动图书基层服务站，已于10月正式向老年人开展借阅服务。</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该"流动图书基层服务站"配套藏书6000多册，座位30多个，我馆今后将通过该服务站作为为老年人提供阅读服务的阵地，该模式除了丰富老年人业余文化生活，也为我馆探索为老服务新模式，开展"老有所学、老有所乐"为老服务提供了新选择。</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（4）移动阅读缓解阅读之渴</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载有近6000册纸质图书、自助借还书机、电子读报机、4G无线上网等先进设施的“移动智能图书馆”开进了三水的多家企业</w:t>
      </w:r>
      <w:r>
        <w:rPr>
          <w:rFonts w:hint="eastAsia" w:ascii="仿宋" w:hAnsi="仿宋" w:eastAsia="仿宋"/>
          <w:sz w:val="28"/>
          <w:szCs w:val="28"/>
          <w:lang w:eastAsia="zh-CN"/>
        </w:rPr>
        <w:t>、学校和社区，</w:t>
      </w:r>
      <w:r>
        <w:rPr>
          <w:rFonts w:hint="eastAsia" w:ascii="仿宋" w:hAnsi="仿宋" w:eastAsia="仿宋"/>
          <w:sz w:val="28"/>
          <w:szCs w:val="28"/>
        </w:rPr>
        <w:t>一解了企业员工、员工家属</w:t>
      </w:r>
      <w:r>
        <w:rPr>
          <w:rFonts w:hint="eastAsia" w:ascii="仿宋" w:hAnsi="仿宋" w:eastAsia="仿宋"/>
          <w:sz w:val="28"/>
          <w:szCs w:val="28"/>
          <w:lang w:eastAsia="zh-CN"/>
        </w:rPr>
        <w:t>、</w:t>
      </w:r>
      <w:r>
        <w:rPr>
          <w:rFonts w:hint="eastAsia" w:ascii="仿宋" w:hAnsi="仿宋" w:eastAsia="仿宋"/>
          <w:sz w:val="28"/>
          <w:szCs w:val="28"/>
        </w:rPr>
        <w:t>周边群众</w:t>
      </w:r>
      <w:r>
        <w:rPr>
          <w:rFonts w:hint="eastAsia" w:ascii="仿宋" w:hAnsi="仿宋" w:eastAsia="仿宋"/>
          <w:sz w:val="28"/>
          <w:szCs w:val="28"/>
          <w:lang w:eastAsia="zh-CN"/>
        </w:rPr>
        <w:t>及边远地区群众</w:t>
      </w:r>
      <w:r>
        <w:rPr>
          <w:rFonts w:hint="eastAsia" w:ascii="仿宋" w:hAnsi="仿宋" w:eastAsia="仿宋"/>
          <w:sz w:val="28"/>
          <w:szCs w:val="28"/>
        </w:rPr>
        <w:t>的阅读之渴。活动现场我馆还</w:t>
      </w:r>
      <w:r>
        <w:rPr>
          <w:rFonts w:hint="eastAsia" w:ascii="仿宋" w:hAnsi="仿宋" w:eastAsia="仿宋"/>
          <w:sz w:val="28"/>
          <w:szCs w:val="28"/>
          <w:lang w:eastAsia="zh-CN"/>
        </w:rPr>
        <w:t>带上展览，以及</w:t>
      </w:r>
      <w:r>
        <w:rPr>
          <w:rFonts w:hint="eastAsia" w:ascii="仿宋" w:hAnsi="仿宋" w:eastAsia="仿宋"/>
          <w:sz w:val="28"/>
          <w:szCs w:val="28"/>
        </w:rPr>
        <w:t>为企业员工</w:t>
      </w:r>
      <w:r>
        <w:rPr>
          <w:rFonts w:hint="eastAsia" w:ascii="仿宋" w:hAnsi="仿宋" w:eastAsia="仿宋"/>
          <w:sz w:val="28"/>
          <w:szCs w:val="28"/>
          <w:lang w:eastAsia="zh-CN"/>
        </w:rPr>
        <w:t>、社区群众</w:t>
      </w:r>
      <w:r>
        <w:rPr>
          <w:rFonts w:hint="eastAsia" w:ascii="仿宋" w:hAnsi="仿宋" w:eastAsia="仿宋"/>
          <w:sz w:val="28"/>
          <w:szCs w:val="28"/>
        </w:rPr>
        <w:t>提供办理书证、借书服务。</w:t>
      </w:r>
      <w:r>
        <w:rPr>
          <w:rFonts w:hint="eastAsia" w:ascii="仿宋" w:hAnsi="仿宋" w:eastAsia="仿宋"/>
          <w:sz w:val="28"/>
          <w:szCs w:val="28"/>
          <w:lang w:eastAsia="zh-CN"/>
        </w:rPr>
        <w:t>到目前为止</w:t>
      </w:r>
      <w:r>
        <w:rPr>
          <w:rFonts w:hint="eastAsia" w:ascii="仿宋" w:hAnsi="仿宋" w:eastAsia="仿宋"/>
          <w:sz w:val="28"/>
          <w:szCs w:val="28"/>
        </w:rPr>
        <w:t>共开展了</w:t>
      </w:r>
      <w:r>
        <w:rPr>
          <w:rFonts w:hint="eastAsia" w:ascii="仿宋" w:hAnsi="仿宋" w:eastAsia="仿宋"/>
          <w:sz w:val="28"/>
          <w:szCs w:val="28"/>
          <w:lang w:val="en-US" w:eastAsia="zh-CN"/>
        </w:rPr>
        <w:t>81</w:t>
      </w:r>
      <w:r>
        <w:rPr>
          <w:rFonts w:hint="eastAsia" w:ascii="仿宋" w:hAnsi="仿宋" w:eastAsia="仿宋"/>
          <w:sz w:val="28"/>
          <w:szCs w:val="28"/>
        </w:rPr>
        <w:t>场次流动服务</w:t>
      </w:r>
      <w:r>
        <w:rPr>
          <w:rFonts w:hint="eastAsia" w:ascii="仿宋" w:hAnsi="仿宋" w:eastAsia="仿宋"/>
          <w:sz w:val="28"/>
          <w:szCs w:val="28"/>
          <w:lang w:eastAsia="zh-CN"/>
        </w:rPr>
        <w:t>，</w:t>
      </w:r>
      <w:r>
        <w:rPr>
          <w:rFonts w:hint="eastAsia" w:ascii="仿宋" w:hAnsi="仿宋" w:eastAsia="仿宋"/>
          <w:sz w:val="28"/>
          <w:szCs w:val="28"/>
        </w:rPr>
        <w:t>参与活动读者</w:t>
      </w:r>
      <w:r>
        <w:rPr>
          <w:rFonts w:hint="eastAsia" w:ascii="仿宋" w:hAnsi="仿宋" w:eastAsia="仿宋"/>
          <w:sz w:val="28"/>
          <w:szCs w:val="28"/>
          <w:lang w:val="en-US" w:eastAsia="zh-CN"/>
        </w:rPr>
        <w:t>360</w:t>
      </w:r>
      <w:r>
        <w:rPr>
          <w:rFonts w:hint="eastAsia" w:ascii="仿宋" w:hAnsi="仿宋" w:eastAsia="仿宋"/>
          <w:sz w:val="28"/>
          <w:szCs w:val="28"/>
        </w:rPr>
        <w:t>00多人次。很多读者都对流动图书车这一便民服务表示支持和点赞。</w:t>
      </w:r>
    </w:p>
    <w:p>
      <w:pPr>
        <w:ind w:firstLine="562" w:firstLineChars="200"/>
        <w:rPr>
          <w:rFonts w:hint="eastAsia" w:ascii="仿宋" w:hAnsi="仿宋" w:eastAsia="仿宋"/>
          <w:sz w:val="28"/>
          <w:szCs w:val="28"/>
          <w:lang w:val="en-US" w:eastAsia="zh-CN"/>
        </w:rPr>
      </w:pPr>
      <w:r>
        <w:rPr>
          <w:rFonts w:hint="eastAsia" w:ascii="仿宋" w:hAnsi="仿宋" w:eastAsia="仿宋"/>
          <w:b/>
          <w:bCs/>
          <w:sz w:val="28"/>
          <w:szCs w:val="28"/>
          <w:lang w:val="en-US" w:eastAsia="zh-CN"/>
        </w:rPr>
        <w:t xml:space="preserve">（5）书香飘馆校，“阳光校园”助力地方教育 </w:t>
      </w:r>
      <w:r>
        <w:rPr>
          <w:rFonts w:hint="eastAsia" w:ascii="仿宋" w:hAnsi="仿宋" w:eastAsia="仿宋"/>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_GB2312" w:eastAsia="仿宋_GB2312"/>
          <w:sz w:val="28"/>
          <w:szCs w:val="28"/>
          <w:lang w:val="en-US" w:eastAsia="zh-CN"/>
        </w:rPr>
      </w:pPr>
      <w:r>
        <w:rPr>
          <w:rFonts w:hint="eastAsia" w:ascii="仿宋" w:hAnsi="仿宋" w:eastAsia="仿宋"/>
          <w:sz w:val="28"/>
          <w:szCs w:val="28"/>
          <w:lang w:val="en-US" w:eastAsia="zh-CN"/>
        </w:rPr>
        <w:t>“阳光校园”活动是区图书馆主动走出去，为三水教育系统送资源的一项新举措，特别是为偏远学校老师和学生配送“量身定做”图书，联手打造学生“第二课堂”的课外阅读服务，让图书飘香校园。也培养了青少年从小养成爱读书，读好书及利用图书馆的习惯。活动自2012年推广以来，深受学校师生的欢迎。目前，全区与我馆合作的“阳光校园”共有13所。 “阳光校园”活动的馆校合作方式实现了多嬴的效果：补充和丰富学校图书资源；学生共同阅读，方便老师指导；共享同城资源，开启便捷借阅；保证了学生每年的阅读量；图书馆图书的利用率大大提高并培养了一大批的小读者。</w:t>
      </w:r>
    </w:p>
    <w:p>
      <w:pPr>
        <w:ind w:firstLine="640"/>
        <w:jc w:val="left"/>
        <w:rPr>
          <w:rFonts w:hint="eastAsia" w:ascii="仿宋" w:hAnsi="仿宋" w:eastAsia="仿宋"/>
          <w:sz w:val="28"/>
          <w:szCs w:val="28"/>
          <w:lang w:val="en-US" w:eastAsia="zh-CN"/>
        </w:rPr>
      </w:pPr>
      <w:r>
        <w:rPr>
          <w:rFonts w:hint="eastAsia" w:ascii="仿宋" w:hAnsi="仿宋" w:eastAsia="仿宋"/>
          <w:b/>
          <w:bCs/>
          <w:sz w:val="28"/>
          <w:szCs w:val="28"/>
          <w:lang w:val="en-US" w:eastAsia="zh-CN"/>
        </w:rPr>
        <w:t>（6）阅读渗透公共空间。</w:t>
      </w:r>
      <w:r>
        <w:rPr>
          <w:rFonts w:hint="eastAsia" w:ascii="仿宋" w:hAnsi="仿宋" w:eastAsia="仿宋"/>
          <w:sz w:val="28"/>
          <w:szCs w:val="28"/>
          <w:lang w:val="en-US" w:eastAsia="zh-CN"/>
        </w:rPr>
        <w:t>我馆在沙头社区、三水广场、学校广场开展全民阅读活动，以朗诵经典诗文、阅读分享会、现场互动、设置阅读有奖互动游戏区等多元形式，吸引了众多市民参与，为市民带来一场阅读盛宴。活动的亮点在于以公共空间阅读的形式开展，目的是想在社区、广场等生活气息浓厚的公共场所营造阅读的氛围，鼓励全民阅读。助力文化示范区的创建。让市民一同感受知识的魅力，体会书籍之美和阅读之乐。</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sz w:val="28"/>
          <w:szCs w:val="28"/>
          <w:lang w:val="en-US" w:eastAsia="zh-CN"/>
        </w:rPr>
      </w:pPr>
      <w:r>
        <w:rPr>
          <w:rFonts w:hint="eastAsia" w:ascii="仿宋" w:hAnsi="仿宋" w:eastAsia="仿宋"/>
          <w:b/>
          <w:bCs/>
          <w:sz w:val="28"/>
          <w:szCs w:val="28"/>
          <w:lang w:val="en-US" w:eastAsia="zh-CN"/>
        </w:rPr>
        <w:t>（7）设立地方文献室：</w:t>
      </w:r>
      <w:r>
        <w:rPr>
          <w:rFonts w:hint="eastAsia" w:ascii="仿宋" w:hAnsi="仿宋" w:eastAsia="仿宋"/>
          <w:sz w:val="28"/>
          <w:szCs w:val="28"/>
          <w:lang w:val="en-US" w:eastAsia="zh-CN"/>
        </w:rPr>
        <w:t>我馆在一楼原少儿阅览室设置地方文献阅览室，组织了近千册地方文献供读者查阅。期间还多渠道收集了40册珍贵的地方文献，填补了我馆地方文献馆藏的空白。</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（二）新馆建设工作稳步推进</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cstheme="minorBidi"/>
          <w:kern w:val="2"/>
          <w:sz w:val="28"/>
          <w:szCs w:val="28"/>
          <w:lang w:val="en-US" w:eastAsia="zh-CN" w:bidi="ar-SA"/>
        </w:rPr>
      </w:pPr>
      <w:r>
        <w:rPr>
          <w:rFonts w:hint="eastAsia" w:ascii="仿宋" w:hAnsi="仿宋" w:eastAsia="仿宋"/>
          <w:sz w:val="28"/>
          <w:szCs w:val="28"/>
          <w:lang w:val="en-US" w:eastAsia="zh-CN"/>
        </w:rPr>
        <w:t>为做好新馆建设工作，我馆今年年初通过参观学习、咨询专家、参考国家文化部的《公共图书馆建设标准》、借鉴佛山市新图书馆的建设标准和经验等多种形式，并结合我区实际情况，深入调查研究，对新馆配套项目设置进行反复推敲，今年五月份形成了初步的配套项目设计构想。包括</w:t>
      </w:r>
      <w:r>
        <w:rPr>
          <w:rFonts w:hint="eastAsia" w:ascii="仿宋" w:hAnsi="仿宋" w:eastAsia="仿宋" w:cstheme="minorBidi"/>
          <w:kern w:val="2"/>
          <w:sz w:val="28"/>
          <w:szCs w:val="28"/>
          <w:lang w:val="en-US" w:eastAsia="zh-CN" w:bidi="ar-SA"/>
        </w:rPr>
        <w:t>新馆的定位、各功能场室功能设定、系统配置、人员配置、项目概算等。</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（三）加强和规范化内部管理</w:t>
      </w:r>
    </w:p>
    <w:p>
      <w:pPr>
        <w:numPr>
          <w:ilvl w:val="0"/>
          <w:numId w:val="0"/>
        </w:numPr>
        <w:ind w:firstLine="560" w:firstLineChars="20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为适应部局及我馆管理、发展新形势新任务的需要，进一步推动各项管理工作制度化、规范化，建立规范高效的管理体制，形成比较完整的规章制度体系，我馆除了对原有的制度进行了系统的修订、补充和完善外还增加了一些新的制度，形成了三水区图书馆内部管理制度。此外，年初我馆还制定了非常详细的工作分工及成立图书馆党小组。新制度和分工发布并执行以来，进一步规范了工作程序，严肃了工作纪律，提高了工作效能，初步形成了用制度管人，用制度管事的局面。</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2" w:firstLineChars="200"/>
        <w:textAlignment w:val="auto"/>
        <w:outlineLvl w:val="9"/>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（四）三水区图书馆再次被评为“国家一级图书馆”</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今年5月份</w:t>
      </w:r>
      <w:r>
        <w:rPr>
          <w:rFonts w:hint="default" w:ascii="仿宋" w:hAnsi="仿宋" w:eastAsia="仿宋"/>
          <w:sz w:val="28"/>
          <w:szCs w:val="28"/>
          <w:lang w:val="en-US" w:eastAsia="zh-CN"/>
        </w:rPr>
        <w:t>文化和旅游部办公厅发布了“第六次全国县级以上公共图书馆评估定级结果”的公告，</w:t>
      </w:r>
      <w:r>
        <w:rPr>
          <w:rFonts w:hint="eastAsia" w:ascii="仿宋" w:hAnsi="仿宋" w:eastAsia="仿宋"/>
          <w:sz w:val="28"/>
          <w:szCs w:val="28"/>
          <w:lang w:val="en-US" w:eastAsia="zh-CN"/>
        </w:rPr>
        <w:t>我馆</w:t>
      </w:r>
      <w:r>
        <w:rPr>
          <w:rFonts w:hint="default" w:ascii="仿宋" w:hAnsi="仿宋" w:eastAsia="仿宋"/>
          <w:sz w:val="28"/>
          <w:szCs w:val="28"/>
          <w:lang w:val="en-US" w:eastAsia="zh-CN"/>
        </w:rPr>
        <w:t>再次被评定为“国家一级图书馆”，这也是</w:t>
      </w:r>
      <w:r>
        <w:rPr>
          <w:rFonts w:hint="eastAsia" w:ascii="仿宋" w:hAnsi="仿宋" w:eastAsia="仿宋"/>
          <w:sz w:val="28"/>
          <w:szCs w:val="28"/>
          <w:lang w:val="en-US" w:eastAsia="zh-CN"/>
        </w:rPr>
        <w:t>三水区</w:t>
      </w:r>
      <w:r>
        <w:rPr>
          <w:rFonts w:hint="default" w:ascii="仿宋" w:hAnsi="仿宋" w:eastAsia="仿宋"/>
          <w:sz w:val="28"/>
          <w:szCs w:val="28"/>
          <w:lang w:val="en-US" w:eastAsia="zh-CN"/>
        </w:rPr>
        <w:t>图书馆连续第</w:t>
      </w:r>
      <w:r>
        <w:rPr>
          <w:rFonts w:hint="eastAsia" w:ascii="仿宋" w:hAnsi="仿宋" w:eastAsia="仿宋"/>
          <w:sz w:val="28"/>
          <w:szCs w:val="28"/>
          <w:lang w:val="en-US" w:eastAsia="zh-CN"/>
        </w:rPr>
        <w:t>六</w:t>
      </w:r>
      <w:r>
        <w:rPr>
          <w:rFonts w:hint="default" w:ascii="仿宋" w:hAnsi="仿宋" w:eastAsia="仿宋"/>
          <w:sz w:val="28"/>
          <w:szCs w:val="28"/>
          <w:lang w:val="en-US" w:eastAsia="zh-CN"/>
        </w:rPr>
        <w:t>次荣膺“国家一级图书馆”称号。</w:t>
      </w:r>
    </w:p>
    <w:p>
      <w:pPr>
        <w:ind w:firstLine="560" w:firstLineChars="200"/>
        <w:rPr>
          <w:rFonts w:hint="default" w:ascii="仿宋" w:hAnsi="仿宋" w:eastAsia="仿宋"/>
          <w:sz w:val="32"/>
          <w:szCs w:val="32"/>
          <w:lang w:val="en-US" w:eastAsia="zh-CN"/>
        </w:rPr>
      </w:pPr>
      <w:r>
        <w:rPr>
          <w:rFonts w:hint="default" w:ascii="仿宋" w:hAnsi="仿宋" w:eastAsia="仿宋"/>
          <w:sz w:val="28"/>
          <w:szCs w:val="28"/>
          <w:lang w:val="en-US" w:eastAsia="zh-CN"/>
        </w:rPr>
        <w:t>由文化和旅游部组织的全国县级以上公共图书馆评估</w:t>
      </w:r>
      <w:r>
        <w:rPr>
          <w:rFonts w:hint="eastAsia" w:ascii="仿宋" w:hAnsi="仿宋" w:eastAsia="仿宋"/>
          <w:sz w:val="28"/>
          <w:szCs w:val="28"/>
          <w:lang w:val="en-US" w:eastAsia="zh-CN"/>
        </w:rPr>
        <w:t>定级</w:t>
      </w:r>
      <w:r>
        <w:rPr>
          <w:rFonts w:hint="default" w:ascii="仿宋" w:hAnsi="仿宋" w:eastAsia="仿宋"/>
          <w:sz w:val="28"/>
          <w:szCs w:val="28"/>
          <w:lang w:val="en-US" w:eastAsia="zh-CN"/>
        </w:rPr>
        <w:t>每四年举行一次，主要对公共图书馆的办馆条件、公共服务水平等指标进行全面评估后定级。</w:t>
      </w:r>
    </w:p>
    <w:p>
      <w:pPr>
        <w:ind w:firstLine="602" w:firstLineChars="200"/>
        <w:rPr>
          <w:rFonts w:hint="eastAsia"/>
          <w:b/>
          <w:sz w:val="30"/>
          <w:szCs w:val="30"/>
        </w:rPr>
      </w:pPr>
      <w:r>
        <w:rPr>
          <w:rFonts w:hint="eastAsia"/>
          <w:b/>
          <w:sz w:val="30"/>
          <w:szCs w:val="30"/>
          <w:lang w:eastAsia="zh-CN"/>
        </w:rPr>
        <w:t>二</w:t>
      </w:r>
      <w:r>
        <w:rPr>
          <w:rFonts w:hint="eastAsia"/>
          <w:b/>
          <w:sz w:val="30"/>
          <w:szCs w:val="30"/>
        </w:rPr>
        <w:t>、2018年工作计划</w:t>
      </w:r>
    </w:p>
    <w:p>
      <w:pPr>
        <w:numPr>
          <w:ilvl w:val="0"/>
          <w:numId w:val="1"/>
        </w:numPr>
        <w:ind w:leftChars="0" w:firstLine="602" w:firstLineChars="200"/>
        <w:jc w:val="left"/>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积极筹备三水图书馆新馆搬迁规划</w:t>
      </w:r>
    </w:p>
    <w:p>
      <w:pPr>
        <w:pStyle w:val="2"/>
        <w:numPr>
          <w:ilvl w:val="0"/>
          <w:numId w:val="0"/>
        </w:numPr>
        <w:ind w:firstLine="600" w:firstLineChars="200"/>
        <w:rPr>
          <w:rFonts w:hint="eastAsia" w:ascii="仿宋_GB2312" w:eastAsia="仿宋_GB2312"/>
          <w:b w:val="0"/>
          <w:bCs w:val="0"/>
          <w:sz w:val="30"/>
          <w:szCs w:val="30"/>
          <w:lang w:val="en-US" w:eastAsia="zh-CN"/>
        </w:rPr>
      </w:pPr>
      <w:r>
        <w:rPr>
          <w:rFonts w:hint="eastAsia" w:ascii="仿宋_GB2312" w:eastAsia="仿宋_GB2312"/>
          <w:b w:val="0"/>
          <w:bCs w:val="0"/>
          <w:sz w:val="30"/>
          <w:szCs w:val="30"/>
          <w:lang w:val="en-US" w:eastAsia="zh-CN"/>
        </w:rPr>
        <w:t>三水图书馆新馆即将完成基础设施建设，未雨绸缪，继续积极开展调研、参观、学习、论证、装修等筹备工作，以高标准、高起点将我区新图书馆规划设计成具有先进服务理念和服务能力的现代化图书馆，早日向三水群众开放。</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加大新馆的宣传力度，包括举办向全区市民征集三水地方历史文献、古籍、政务信息活动；新旧馆摄影比赛等。</w:t>
      </w:r>
    </w:p>
    <w:p>
      <w:pPr>
        <w:numPr>
          <w:ilvl w:val="0"/>
          <w:numId w:val="0"/>
        </w:numPr>
        <w:ind w:leftChars="200"/>
        <w:jc w:val="left"/>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（二）继续推进总分馆的建设</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联合文化馆、博物馆及各分馆，走进学校、企业、园区、村居依托阅读推广活动的联动来提升各分馆及服务点的借阅和办证量。</w:t>
      </w:r>
    </w:p>
    <w:p>
      <w:pPr>
        <w:numPr>
          <w:ilvl w:val="0"/>
          <w:numId w:val="0"/>
        </w:numPr>
        <w:ind w:leftChars="200"/>
        <w:jc w:val="left"/>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（三）努力推动“书香三水”全民阅读活动</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服务实现常态化、均等化，坚持打造“书香三水”公共文化服务品牌，倡导全民阅读。面向社会所有群体，努力推广温暖阅读、亲子阅读、集体共读等读书分享活动，包括“阳光校园”、暑期活动、“思贤讲坛”、设立专题书架、“我的图书，我选择”等品牌活动，营造和谐、进步的全民阅读氛围，宣传社会主义核心价值观，弘扬中华优良传统文化。</w:t>
      </w:r>
    </w:p>
    <w:p>
      <w:pPr>
        <w:numPr>
          <w:ilvl w:val="0"/>
          <w:numId w:val="0"/>
        </w:numPr>
        <w:ind w:leftChars="200"/>
        <w:jc w:val="left"/>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（四）增设更多的图书借阅智能化服务阵地</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文化服务要惠民、便民，数字化、智能化服务是新形势下图书馆业务发展必须提升的重要部分。积极创造条件，在全区设立更多24小时自助借还图书馆，解决图书服务的时间和空间局限。</w:t>
      </w:r>
    </w:p>
    <w:p>
      <w:pPr>
        <w:numPr>
          <w:ilvl w:val="0"/>
          <w:numId w:val="0"/>
        </w:numPr>
        <w:ind w:leftChars="200"/>
        <w:jc w:val="left"/>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（五）创新开展形式多样的社会合作模式</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图书馆作为社会教育阵地，与义务教育、社区教育、高等教育及公德教育是不可分割的。区图书馆将广泛与政府职能部门、社会团体机构、宣传媒体和志愿者群体等加强合作，共建共享，创新模式，开展多样化的文化服务。</w:t>
      </w:r>
    </w:p>
    <w:p>
      <w:pPr>
        <w:numPr>
          <w:ilvl w:val="0"/>
          <w:numId w:val="0"/>
        </w:numPr>
        <w:ind w:leftChars="200"/>
        <w:jc w:val="left"/>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（六）配合市区的创建工作</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配合佛山市及区的创建工作，做好各项创建工作。</w:t>
      </w:r>
    </w:p>
    <w:p>
      <w:pPr>
        <w:numPr>
          <w:ilvl w:val="0"/>
          <w:numId w:val="0"/>
        </w:numPr>
        <w:ind w:leftChars="200"/>
        <w:jc w:val="left"/>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（七）加强人员队伍建设培养年轻文化骨干</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加强图书馆服务队伍的凝聚力与战斗力建设，鼓励全体干部职工参与各种理论教育和实践活动，培养敢于担当、勇于作为，又具有文化自信和奉献精神的新一代文化骨干。</w:t>
      </w:r>
    </w:p>
    <w:p>
      <w:pPr>
        <w:pStyle w:val="2"/>
        <w:rPr>
          <w:rFonts w:hint="eastAsia"/>
          <w:lang w:eastAsia="zh-CN"/>
        </w:rPr>
      </w:pPr>
    </w:p>
    <w:tbl>
      <w:tblPr>
        <w:tblW w:w="9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597"/>
        <w:gridCol w:w="99"/>
        <w:gridCol w:w="359"/>
        <w:gridCol w:w="644"/>
        <w:gridCol w:w="1410"/>
        <w:gridCol w:w="433"/>
        <w:gridCol w:w="729"/>
        <w:gridCol w:w="1236"/>
        <w:gridCol w:w="359"/>
        <w:gridCol w:w="632"/>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00" w:hRule="atLeast"/>
        </w:trPr>
        <w:tc>
          <w:tcPr>
            <w:tcW w:w="9355" w:type="dxa"/>
            <w:gridSpan w:val="11"/>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楷体_GB2312" w:hAnsi="宋体" w:eastAsia="楷体_GB2312" w:cs="楷体_GB2312"/>
                <w:b/>
                <w:i w:val="0"/>
                <w:color w:val="000000"/>
                <w:sz w:val="32"/>
                <w:szCs w:val="32"/>
                <w:u w:val="none"/>
              </w:rPr>
            </w:pPr>
            <w:r>
              <w:rPr>
                <w:rFonts w:hint="default" w:ascii="楷体_GB2312" w:hAnsi="宋体" w:eastAsia="楷体_GB2312" w:cs="楷体_GB2312"/>
                <w:b/>
                <w:i w:val="0"/>
                <w:color w:val="000000"/>
                <w:kern w:val="0"/>
                <w:sz w:val="32"/>
                <w:szCs w:val="32"/>
                <w:u w:val="none"/>
                <w:bdr w:val="none" w:color="auto" w:sz="0" w:space="0"/>
                <w:lang w:val="en-US" w:eastAsia="zh-CN" w:bidi="ar"/>
              </w:rPr>
              <w:t>公共图书馆基本情况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2597"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9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35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644"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2572" w:type="dxa"/>
            <w:gridSpan w:val="3"/>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2018年度 </w:t>
            </w:r>
          </w:p>
        </w:tc>
        <w:tc>
          <w:tcPr>
            <w:tcW w:w="3084"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15"/>
                <w:szCs w:val="15"/>
                <w:u w:val="none"/>
              </w:rPr>
            </w:pPr>
            <w:r>
              <w:rPr>
                <w:rFonts w:hint="default" w:ascii="楷体_GB2312" w:hAnsi="宋体" w:eastAsia="楷体_GB2312" w:cs="楷体_GB2312"/>
                <w:i w:val="0"/>
                <w:color w:val="000000"/>
                <w:kern w:val="0"/>
                <w:sz w:val="15"/>
                <w:szCs w:val="15"/>
                <w:u w:val="none"/>
                <w:bdr w:val="none" w:color="auto" w:sz="0" w:space="0"/>
                <w:lang w:val="en-US" w:eastAsia="zh-CN" w:bidi="ar"/>
              </w:rPr>
              <w:t xml:space="preserve">  表    号：文   基   3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2597"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01 社会信用统一代码  12440607456091625M</w:t>
            </w:r>
          </w:p>
        </w:tc>
        <w:tc>
          <w:tcPr>
            <w:tcW w:w="9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35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644"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1410"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433"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72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3084"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15"/>
                <w:szCs w:val="15"/>
                <w:u w:val="none"/>
              </w:rPr>
            </w:pPr>
            <w:r>
              <w:rPr>
                <w:rFonts w:hint="default" w:ascii="楷体_GB2312" w:hAnsi="宋体" w:eastAsia="楷体_GB2312" w:cs="楷体_GB2312"/>
                <w:i w:val="0"/>
                <w:color w:val="000000"/>
                <w:kern w:val="0"/>
                <w:sz w:val="15"/>
                <w:szCs w:val="15"/>
                <w:u w:val="none"/>
                <w:bdr w:val="none" w:color="auto" w:sz="0" w:space="0"/>
                <w:lang w:val="en-US" w:eastAsia="zh-CN" w:bidi="ar"/>
              </w:rPr>
              <w:t xml:space="preserve">          制定机关：文      化     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2597"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9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35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644"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1410"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433"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72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3084"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15"/>
                <w:szCs w:val="15"/>
                <w:u w:val="none"/>
              </w:rPr>
            </w:pPr>
            <w:r>
              <w:rPr>
                <w:rFonts w:hint="default" w:ascii="楷体_GB2312" w:hAnsi="宋体" w:eastAsia="楷体_GB2312" w:cs="楷体_GB2312"/>
                <w:i w:val="0"/>
                <w:color w:val="000000"/>
                <w:kern w:val="0"/>
                <w:sz w:val="15"/>
                <w:szCs w:val="15"/>
                <w:u w:val="none"/>
                <w:bdr w:val="none" w:color="auto" w:sz="0" w:space="0"/>
                <w:lang w:val="en-US" w:eastAsia="zh-CN" w:bidi="ar"/>
              </w:rPr>
              <w:t xml:space="preserve">          批准机关：国  家  统 计  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2597" w:type="dxa"/>
            <w:tcBorders>
              <w:top w:val="nil"/>
              <w:left w:val="nil"/>
              <w:bottom w:val="nil"/>
              <w:right w:val="nil"/>
            </w:tcBorders>
            <w:shd w:val="clear" w:color="auto" w:fill="FFFFFF"/>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9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35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644"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1410"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433"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72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6"/>
                <w:szCs w:val="16"/>
                <w:u w:val="none"/>
              </w:rPr>
            </w:pPr>
          </w:p>
        </w:tc>
        <w:tc>
          <w:tcPr>
            <w:tcW w:w="3084" w:type="dxa"/>
            <w:gridSpan w:val="4"/>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15"/>
                <w:szCs w:val="15"/>
                <w:u w:val="none"/>
              </w:rPr>
            </w:pPr>
            <w:r>
              <w:rPr>
                <w:rFonts w:hint="default" w:ascii="楷体_GB2312" w:hAnsi="宋体" w:eastAsia="楷体_GB2312" w:cs="楷体_GB2312"/>
                <w:i w:val="0"/>
                <w:color w:val="000000"/>
                <w:kern w:val="0"/>
                <w:sz w:val="15"/>
                <w:szCs w:val="15"/>
                <w:u w:val="none"/>
                <w:bdr w:val="none" w:color="auto" w:sz="0" w:space="0"/>
                <w:lang w:val="en-US" w:eastAsia="zh-CN" w:bidi="ar"/>
              </w:rPr>
              <w:t xml:space="preserve">          批准文号：国统制〔2018〕3号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2597" w:type="dxa"/>
            <w:tcBorders>
              <w:top w:val="nil"/>
              <w:left w:val="nil"/>
              <w:bottom w:val="nil"/>
              <w:right w:val="nil"/>
            </w:tcBorders>
            <w:shd w:val="clear" w:color="auto" w:fill="FFFFFF"/>
            <w:noWrap/>
            <w:tcMar>
              <w:top w:w="15" w:type="dxa"/>
              <w:left w:w="15" w:type="dxa"/>
              <w:right w:w="15" w:type="dxa"/>
            </w:tcMar>
            <w:vAlign w:val="bottom"/>
          </w:tcPr>
          <w:p>
            <w:pPr>
              <w:keepNext w:val="0"/>
              <w:keepLines w:val="0"/>
              <w:widowControl/>
              <w:suppressLineNumbers w:val="0"/>
              <w:jc w:val="left"/>
              <w:textAlignment w:val="bottom"/>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02 单位名称(章)：佛山市三水区图书馆</w:t>
            </w:r>
          </w:p>
        </w:tc>
        <w:tc>
          <w:tcPr>
            <w:tcW w:w="9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24"/>
                <w:szCs w:val="24"/>
                <w:u w:val="none"/>
              </w:rPr>
            </w:pPr>
          </w:p>
        </w:tc>
        <w:tc>
          <w:tcPr>
            <w:tcW w:w="35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24"/>
                <w:szCs w:val="24"/>
                <w:u w:val="none"/>
              </w:rPr>
            </w:pPr>
          </w:p>
        </w:tc>
        <w:tc>
          <w:tcPr>
            <w:tcW w:w="644"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24"/>
                <w:szCs w:val="24"/>
                <w:u w:val="none"/>
              </w:rPr>
            </w:pPr>
          </w:p>
        </w:tc>
        <w:tc>
          <w:tcPr>
            <w:tcW w:w="1410"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24"/>
                <w:szCs w:val="24"/>
                <w:u w:val="none"/>
              </w:rPr>
            </w:pPr>
          </w:p>
        </w:tc>
        <w:tc>
          <w:tcPr>
            <w:tcW w:w="433"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24"/>
                <w:szCs w:val="24"/>
                <w:u w:val="none"/>
              </w:rPr>
            </w:pPr>
          </w:p>
        </w:tc>
        <w:tc>
          <w:tcPr>
            <w:tcW w:w="729" w:type="dxa"/>
            <w:tcBorders>
              <w:top w:val="nil"/>
              <w:left w:val="nil"/>
              <w:bottom w:val="nil"/>
              <w:right w:val="nil"/>
            </w:tcBorders>
            <w:shd w:val="clear" w:color="auto" w:fill="FFFFFF"/>
            <w:noWrap/>
            <w:tcMar>
              <w:top w:w="15" w:type="dxa"/>
              <w:left w:w="15" w:type="dxa"/>
              <w:right w:w="15" w:type="dxa"/>
            </w:tcMar>
            <w:vAlign w:val="bottom"/>
          </w:tcPr>
          <w:p>
            <w:pPr>
              <w:rPr>
                <w:rFonts w:hint="default" w:ascii="楷体_GB2312" w:hAnsi="宋体" w:eastAsia="楷体_GB2312" w:cs="楷体_GB2312"/>
                <w:i w:val="0"/>
                <w:color w:val="000000"/>
                <w:sz w:val="15"/>
                <w:szCs w:val="15"/>
                <w:u w:val="none"/>
              </w:rPr>
            </w:pPr>
          </w:p>
        </w:tc>
        <w:tc>
          <w:tcPr>
            <w:tcW w:w="3084" w:type="dxa"/>
            <w:gridSpan w:val="4"/>
            <w:tcBorders>
              <w:top w:val="nil"/>
              <w:left w:val="nil"/>
              <w:bottom w:val="single" w:color="000000" w:sz="8" w:space="0"/>
              <w:right w:val="nil"/>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楷体_GB2312" w:hAnsi="宋体" w:eastAsia="楷体_GB2312" w:cs="楷体_GB2312"/>
                <w:i w:val="0"/>
                <w:color w:val="000000"/>
                <w:sz w:val="15"/>
                <w:szCs w:val="15"/>
                <w:u w:val="none"/>
              </w:rPr>
            </w:pPr>
            <w:r>
              <w:rPr>
                <w:rFonts w:hint="default" w:ascii="楷体_GB2312" w:hAnsi="宋体" w:eastAsia="楷体_GB2312" w:cs="楷体_GB2312"/>
                <w:i w:val="0"/>
                <w:color w:val="000000"/>
                <w:kern w:val="0"/>
                <w:sz w:val="15"/>
                <w:szCs w:val="15"/>
                <w:u w:val="none"/>
                <w:bdr w:val="none" w:color="auto" w:sz="0" w:space="0"/>
                <w:lang w:val="en-US" w:eastAsia="zh-CN" w:bidi="ar"/>
              </w:rPr>
              <w:t xml:space="preserve">          有 效 期：2020  年  12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696" w:type="dxa"/>
            <w:gridSpan w:val="2"/>
            <w:tcBorders>
              <w:top w:val="single" w:color="000000" w:sz="8"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03 邮政编码：</w:t>
            </w:r>
          </w:p>
        </w:tc>
        <w:tc>
          <w:tcPr>
            <w:tcW w:w="1003" w:type="dxa"/>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06 详细地址</w:t>
            </w:r>
          </w:p>
        </w:tc>
        <w:tc>
          <w:tcPr>
            <w:tcW w:w="2572" w:type="dxa"/>
            <w:gridSpan w:val="3"/>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5"/>
                <w:szCs w:val="15"/>
                <w:u w:val="none"/>
              </w:rPr>
            </w:pPr>
            <w:r>
              <w:rPr>
                <w:rFonts w:hint="default" w:ascii="楷体_GB2312" w:hAnsi="宋体" w:eastAsia="楷体_GB2312" w:cs="楷体_GB2312"/>
                <w:i w:val="0"/>
                <w:color w:val="000000"/>
                <w:kern w:val="0"/>
                <w:sz w:val="15"/>
                <w:szCs w:val="15"/>
                <w:u w:val="none"/>
                <w:bdr w:val="none" w:color="auto" w:sz="0" w:space="0"/>
                <w:lang w:val="en-US" w:eastAsia="zh-CN" w:bidi="ar"/>
              </w:rPr>
              <w:t>07 登记注册类型</w:t>
            </w:r>
          </w:p>
        </w:tc>
        <w:tc>
          <w:tcPr>
            <w:tcW w:w="1595" w:type="dxa"/>
            <w:gridSpan w:val="2"/>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08 部门判别</w:t>
            </w:r>
          </w:p>
        </w:tc>
        <w:tc>
          <w:tcPr>
            <w:tcW w:w="1489" w:type="dxa"/>
            <w:gridSpan w:val="2"/>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11 是否儿童图书馆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5" w:hRule="atLeast"/>
        </w:trPr>
        <w:tc>
          <w:tcPr>
            <w:tcW w:w="2696"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528100</w:t>
            </w:r>
          </w:p>
        </w:tc>
        <w:tc>
          <w:tcPr>
            <w:tcW w:w="1003" w:type="dxa"/>
            <w:gridSpan w:val="2"/>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三水区西南</w:t>
            </w: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5"/>
                <w:szCs w:val="15"/>
                <w:u w:val="none"/>
              </w:rPr>
            </w:pPr>
            <w:r>
              <w:rPr>
                <w:rFonts w:hint="default" w:ascii="楷体_GB2312" w:hAnsi="宋体" w:eastAsia="楷体_GB2312" w:cs="楷体_GB2312"/>
                <w:i w:val="0"/>
                <w:color w:val="000000"/>
                <w:kern w:val="0"/>
                <w:sz w:val="15"/>
                <w:szCs w:val="15"/>
                <w:u w:val="none"/>
                <w:bdr w:val="none" w:color="auto" w:sz="0" w:space="0"/>
                <w:lang w:val="en-US" w:eastAsia="zh-CN" w:bidi="ar"/>
              </w:rPr>
              <w:t>100. 内资企业</w:t>
            </w:r>
          </w:p>
        </w:tc>
        <w:tc>
          <w:tcPr>
            <w:tcW w:w="1595"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1.文化部门</w:t>
            </w:r>
          </w:p>
        </w:tc>
        <w:tc>
          <w:tcPr>
            <w:tcW w:w="1489" w:type="dxa"/>
            <w:gridSpan w:val="2"/>
            <w:tcBorders>
              <w:top w:val="single" w:color="000000" w:sz="4" w:space="0"/>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696"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1003"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110.国有企业</w:t>
            </w:r>
          </w:p>
        </w:tc>
        <w:tc>
          <w:tcPr>
            <w:tcW w:w="1595"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2.其他部门    1</w:t>
            </w:r>
          </w:p>
        </w:tc>
        <w:tc>
          <w:tcPr>
            <w:tcW w:w="1489" w:type="dxa"/>
            <w:gridSpan w:val="2"/>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2.否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5"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04 电    话：</w:t>
            </w:r>
          </w:p>
        </w:tc>
        <w:tc>
          <w:tcPr>
            <w:tcW w:w="1003"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120.集体企业</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09 近十年有无重大维修</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12 主体建筑建成年份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696" w:type="dxa"/>
            <w:gridSpan w:val="2"/>
            <w:vMerge w:val="restar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0757-87761405</w:t>
            </w:r>
          </w:p>
        </w:tc>
        <w:tc>
          <w:tcPr>
            <w:tcW w:w="1003"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130.股份合作</w:t>
            </w:r>
          </w:p>
        </w:tc>
        <w:tc>
          <w:tcPr>
            <w:tcW w:w="1595"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1.有</w:t>
            </w:r>
          </w:p>
        </w:tc>
        <w:tc>
          <w:tcPr>
            <w:tcW w:w="1489" w:type="dxa"/>
            <w:gridSpan w:val="2"/>
            <w:vMerge w:val="restart"/>
            <w:tcBorders>
              <w:top w:val="single" w:color="000000" w:sz="4" w:space="0"/>
              <w:left w:val="single" w:color="000000" w:sz="4" w:space="0"/>
              <w:bottom w:val="nil"/>
              <w:right w:val="nil"/>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w:t>
            </w:r>
            <w:r>
              <w:rPr>
                <w:rStyle w:val="9"/>
                <w:rFonts w:hAnsi="宋体"/>
                <w:bdr w:val="none" w:color="auto" w:sz="0" w:space="0"/>
                <w:lang w:val="en-US" w:eastAsia="zh-CN" w:bidi="ar"/>
              </w:rPr>
              <w:t xml:space="preserve"> 1985 </w:t>
            </w:r>
            <w:r>
              <w:rPr>
                <w:rStyle w:val="10"/>
                <w:rFonts w:hAnsi="宋体"/>
                <w:bdr w:val="none" w:color="auto" w:sz="0" w:space="0"/>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5" w:hRule="atLeast"/>
        </w:trPr>
        <w:tc>
          <w:tcPr>
            <w:tcW w:w="2696" w:type="dxa"/>
            <w:gridSpan w:val="2"/>
            <w:vMerge w:val="continue"/>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3" w:type="dxa"/>
            <w:gridSpan w:val="2"/>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w:t>
            </w: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140.联营企业</w:t>
            </w:r>
          </w:p>
        </w:tc>
        <w:tc>
          <w:tcPr>
            <w:tcW w:w="1595"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2.无   2</w:t>
            </w:r>
          </w:p>
        </w:tc>
        <w:tc>
          <w:tcPr>
            <w:tcW w:w="1489" w:type="dxa"/>
            <w:gridSpan w:val="2"/>
            <w:vMerge w:val="continue"/>
            <w:tcBorders>
              <w:top w:val="single" w:color="000000" w:sz="4" w:space="0"/>
              <w:left w:val="single" w:color="000000" w:sz="4" w:space="0"/>
              <w:bottom w:val="nil"/>
              <w:right w:val="nil"/>
            </w:tcBorders>
            <w:shd w:val="clear" w:color="auto" w:fill="FFFFFF"/>
            <w:tcMar>
              <w:top w:w="15" w:type="dxa"/>
              <w:left w:w="15" w:type="dxa"/>
              <w:right w:w="15" w:type="dxa"/>
            </w:tcMar>
            <w:vAlign w:val="bottom"/>
          </w:tcPr>
          <w:p>
            <w:pPr>
              <w:jc w:val="center"/>
              <w:rPr>
                <w:rFonts w:hint="default" w:ascii="楷体_GB2312" w:hAnsi="宋体" w:eastAsia="楷体_GB2312" w:cs="楷体_GB2312"/>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5" w:hRule="atLeast"/>
        </w:trPr>
        <w:tc>
          <w:tcPr>
            <w:tcW w:w="2696" w:type="dxa"/>
            <w:gridSpan w:val="2"/>
            <w:vMerge w:val="continue"/>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003" w:type="dxa"/>
            <w:gridSpan w:val="2"/>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街(乡、镇)</w:t>
            </w: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150.有限责任公司</w:t>
            </w:r>
          </w:p>
        </w:tc>
        <w:tc>
          <w:tcPr>
            <w:tcW w:w="15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10 活动状态</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13 评估定级情况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5" w:hRule="atLeast"/>
        </w:trPr>
        <w:tc>
          <w:tcPr>
            <w:tcW w:w="2696" w:type="dxa"/>
            <w:gridSpan w:val="2"/>
            <w:tcBorders>
              <w:top w:val="nil"/>
              <w:left w:val="nil"/>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区号      电话号</w:t>
            </w:r>
          </w:p>
        </w:tc>
        <w:tc>
          <w:tcPr>
            <w:tcW w:w="1003" w:type="dxa"/>
            <w:gridSpan w:val="2"/>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文峰东路21巷</w:t>
            </w: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160.股份有限公司</w:t>
            </w:r>
          </w:p>
        </w:tc>
        <w:tc>
          <w:tcPr>
            <w:tcW w:w="1595"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1.正常活动</w:t>
            </w:r>
          </w:p>
        </w:tc>
        <w:tc>
          <w:tcPr>
            <w:tcW w:w="1489" w:type="dxa"/>
            <w:gridSpan w:val="2"/>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1、一级馆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696" w:type="dxa"/>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1003" w:type="dxa"/>
            <w:gridSpan w:val="2"/>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号</w:t>
            </w: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170.私营企业</w:t>
            </w:r>
          </w:p>
        </w:tc>
        <w:tc>
          <w:tcPr>
            <w:tcW w:w="1595" w:type="dxa"/>
            <w:gridSpan w:val="2"/>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2.暂停活动</w:t>
            </w:r>
          </w:p>
        </w:tc>
        <w:tc>
          <w:tcPr>
            <w:tcW w:w="1489" w:type="dxa"/>
            <w:gridSpan w:val="2"/>
            <w:tcBorders>
              <w:top w:val="nil"/>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2、二级馆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05 行业代码</w:t>
            </w:r>
          </w:p>
        </w:tc>
        <w:tc>
          <w:tcPr>
            <w:tcW w:w="1003" w:type="dxa"/>
            <w:gridSpan w:val="2"/>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2572" w:type="dxa"/>
            <w:gridSpan w:val="3"/>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5"/>
                <w:szCs w:val="15"/>
                <w:u w:val="none"/>
              </w:rPr>
            </w:pPr>
            <w:r>
              <w:rPr>
                <w:rFonts w:hint="default" w:ascii="Times New Roman" w:hAnsi="Times New Roman" w:eastAsia="宋体" w:cs="Times New Roman"/>
                <w:i w:val="0"/>
                <w:color w:val="000000"/>
                <w:kern w:val="0"/>
                <w:sz w:val="15"/>
                <w:szCs w:val="15"/>
                <w:u w:val="none"/>
                <w:bdr w:val="none" w:color="auto" w:sz="0" w:space="0"/>
                <w:lang w:val="en-US" w:eastAsia="zh-CN" w:bidi="ar"/>
              </w:rPr>
              <w:t xml:space="preserve">   </w:t>
            </w:r>
            <w:r>
              <w:rPr>
                <w:rStyle w:val="8"/>
                <w:rFonts w:ascii="宋体" w:hAnsi="Times New Roman" w:eastAsia="宋体" w:cs="宋体"/>
                <w:sz w:val="24"/>
                <w:szCs w:val="24"/>
                <w:bdr w:val="none" w:color="auto" w:sz="0" w:space="0"/>
                <w:lang w:val="en-US" w:eastAsia="zh-CN" w:bidi="ar"/>
              </w:rPr>
              <w:t>190.其他企业</w:t>
            </w:r>
          </w:p>
        </w:tc>
        <w:tc>
          <w:tcPr>
            <w:tcW w:w="1595" w:type="dxa"/>
            <w:gridSpan w:val="2"/>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3.筹建</w:t>
            </w:r>
          </w:p>
        </w:tc>
        <w:tc>
          <w:tcPr>
            <w:tcW w:w="1489" w:type="dxa"/>
            <w:gridSpan w:val="2"/>
            <w:tcBorders>
              <w:top w:val="nil"/>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3、三级馆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696"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8831</w:t>
            </w:r>
          </w:p>
        </w:tc>
        <w:tc>
          <w:tcPr>
            <w:tcW w:w="1003"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1410" w:type="dxa"/>
            <w:tcBorders>
              <w:top w:val="nil"/>
              <w:left w:val="single" w:color="000000" w:sz="4" w:space="0"/>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200. 港澳台商投资企业</w:t>
            </w:r>
          </w:p>
        </w:tc>
        <w:tc>
          <w:tcPr>
            <w:tcW w:w="433" w:type="dxa"/>
            <w:tcBorders>
              <w:top w:val="nil"/>
              <w:left w:val="nil"/>
              <w:bottom w:val="nil"/>
              <w:right w:val="nil"/>
            </w:tcBorders>
            <w:shd w:val="clear" w:color="auto" w:fill="FFFFFF"/>
            <w:tcMar>
              <w:top w:w="15" w:type="dxa"/>
              <w:left w:w="15" w:type="dxa"/>
              <w:right w:w="15" w:type="dxa"/>
            </w:tcMar>
            <w:vAlign w:val="center"/>
          </w:tcPr>
          <w:p>
            <w:pPr>
              <w:jc w:val="left"/>
              <w:rPr>
                <w:rFonts w:hint="default" w:ascii="楷体_GB2312" w:hAnsi="宋体" w:eastAsia="楷体_GB2312" w:cs="楷体_GB2312"/>
                <w:i w:val="0"/>
                <w:color w:val="000000"/>
                <w:sz w:val="15"/>
                <w:szCs w:val="15"/>
                <w:u w:val="none"/>
              </w:rPr>
            </w:pPr>
          </w:p>
        </w:tc>
        <w:tc>
          <w:tcPr>
            <w:tcW w:w="729" w:type="dxa"/>
            <w:tcBorders>
              <w:top w:val="nil"/>
              <w:left w:val="nil"/>
              <w:bottom w:val="nil"/>
              <w:right w:val="single" w:color="000000" w:sz="4" w:space="0"/>
            </w:tcBorders>
            <w:shd w:val="clear" w:color="auto" w:fill="FFFFFF"/>
            <w:tcMar>
              <w:top w:w="15" w:type="dxa"/>
              <w:left w:w="15" w:type="dxa"/>
              <w:right w:w="15" w:type="dxa"/>
            </w:tcMar>
            <w:vAlign w:val="center"/>
          </w:tcPr>
          <w:p>
            <w:pPr>
              <w:jc w:val="left"/>
              <w:rPr>
                <w:rFonts w:hint="default" w:ascii="楷体_GB2312" w:hAnsi="宋体" w:eastAsia="楷体_GB2312" w:cs="楷体_GB2312"/>
                <w:i w:val="0"/>
                <w:color w:val="000000"/>
                <w:sz w:val="15"/>
                <w:szCs w:val="15"/>
                <w:u w:val="none"/>
              </w:rPr>
            </w:pPr>
          </w:p>
        </w:tc>
        <w:tc>
          <w:tcPr>
            <w:tcW w:w="1595" w:type="dxa"/>
            <w:gridSpan w:val="2"/>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4.撤销</w:t>
            </w:r>
          </w:p>
        </w:tc>
        <w:tc>
          <w:tcPr>
            <w:tcW w:w="1489" w:type="dxa"/>
            <w:gridSpan w:val="2"/>
            <w:tcBorders>
              <w:top w:val="nil"/>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4、无等级馆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2696"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1003" w:type="dxa"/>
            <w:gridSpan w:val="2"/>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楷体_GB2312" w:hAnsi="宋体" w:eastAsia="楷体_GB2312" w:cs="楷体_GB2312"/>
                <w:i w:val="0"/>
                <w:color w:val="000000"/>
                <w:sz w:val="16"/>
                <w:szCs w:val="16"/>
                <w:u w:val="none"/>
              </w:rPr>
            </w:pPr>
          </w:p>
        </w:tc>
        <w:tc>
          <w:tcPr>
            <w:tcW w:w="1410" w:type="dxa"/>
            <w:tcBorders>
              <w:top w:val="nil"/>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300. 外商投资企业</w:t>
            </w:r>
          </w:p>
        </w:tc>
        <w:tc>
          <w:tcPr>
            <w:tcW w:w="433" w:type="dxa"/>
            <w:tcBorders>
              <w:top w:val="nil"/>
              <w:left w:val="nil"/>
              <w:bottom w:val="single" w:color="000000" w:sz="4" w:space="0"/>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2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190</w:t>
            </w:r>
          </w:p>
        </w:tc>
        <w:tc>
          <w:tcPr>
            <w:tcW w:w="1595" w:type="dxa"/>
            <w:gridSpan w:val="2"/>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w:t>
            </w:r>
          </w:p>
        </w:tc>
        <w:tc>
          <w:tcPr>
            <w:tcW w:w="1489" w:type="dxa"/>
            <w:gridSpan w:val="2"/>
            <w:tcBorders>
              <w:top w:val="nil"/>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指标名称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代码</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计量单位</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数额</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指标名称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代码</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计量单位</w:t>
            </w:r>
          </w:p>
        </w:tc>
        <w:tc>
          <w:tcPr>
            <w:tcW w:w="85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甲</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乙</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丙</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甲</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乙</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丙</w:t>
            </w:r>
          </w:p>
        </w:tc>
        <w:tc>
          <w:tcPr>
            <w:tcW w:w="85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一、从业人员</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14</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24</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在财政补贴收入中：基建拨款</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57</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其中：专业技术人才</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15</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18</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购书专项经费</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58</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其中：正高级职称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16</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2、上级补助收入</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59</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副高级职称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17</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3、事业收入</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60</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中级职称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18</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4、经营收入</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61</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二、藏量</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19</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册、件</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352034</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5、附属单位上缴收入</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62</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1、图书</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20</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327421</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6、其他收入</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63</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其中：盲文图书</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338</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十七、本年支出合计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64</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5985.75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2、古籍</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22</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3500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其中:基本支出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65</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其中：善本</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23</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项目支出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66</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1881.75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3、报刊</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24</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件</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20467</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经营支出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67</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4、视听文献</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25</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件、套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646</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在支出合计中：工资福利支出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68</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5、缩微制品 </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26</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件、套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商品和服务支出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69</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6、其他    </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27</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其中：差旅费</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70</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在藏量中：开架书刊</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28</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296803</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劳务费</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71</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少儿文献</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29</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57222</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福利费</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72</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三、电子图书</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30</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34000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各种税金支出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73</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1、本馆自建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31</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 xml:space="preserve">      </w:t>
            </w:r>
            <w:r>
              <w:rPr>
                <w:rStyle w:val="10"/>
                <w:rFonts w:hAnsi="Times New Roman"/>
                <w:bdr w:val="none" w:color="auto" w:sz="0" w:space="0"/>
                <w:lang w:val="en-US" w:eastAsia="zh-CN" w:bidi="ar"/>
              </w:rPr>
              <w:t>对个人和家庭补助支出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74</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2、本馆外购</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32</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34000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其中：抚恤金和生活补助</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75</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3、从其他机构免费共享</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33</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其他资本性支出</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76</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1171.67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四、书架单层总长度</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34</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米</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3243</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其中：各种设备、交通工具、图书购置费</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77</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1171.67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五、本年新增藏量</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35</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bdr w:val="none" w:color="auto" w:sz="0" w:space="0"/>
                <w:lang w:val="en-US" w:eastAsia="zh-CN" w:bidi="ar"/>
              </w:rPr>
              <w:t>册、件</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53024</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其中：新增藏量购置费</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78</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1128.65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六、本年新增电子图书</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36</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34000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新增数字资源购置费</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79</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七、当年购买的报刊种类</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37</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bdr w:val="none" w:color="auto" w:sz="0" w:space="0"/>
                <w:lang w:val="en-US" w:eastAsia="zh-CN" w:bidi="ar"/>
              </w:rPr>
              <w:t>种</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357</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十八、资产总计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80</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八、有效借书证数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38</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bdr w:val="none" w:color="auto" w:sz="0" w:space="0"/>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62736</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其中：固定资产原值</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81</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九、总流通人次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39</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368641</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十九、实际使用房屋建筑面积</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82</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平方米</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1969.08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其中：书刊文献外借人次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40</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125236</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其中：书库面积</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83</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平方米</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十、书刊文献外借册次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41</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bdr w:val="none" w:color="auto" w:sz="0" w:space="0"/>
                <w:lang w:val="en-US" w:eastAsia="zh-CN" w:bidi="ar"/>
              </w:rPr>
              <w:t>册次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316551</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阅览室面积</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84</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平方米</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十一、为读者举办各种活动</w:t>
            </w:r>
          </w:p>
        </w:tc>
        <w:tc>
          <w:tcPr>
            <w:tcW w:w="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bdr w:val="none" w:color="auto" w:sz="0" w:space="0"/>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bdr w:val="none" w:color="auto" w:sz="0" w:space="0"/>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bdr w:val="none" w:color="auto" w:sz="0" w:space="0"/>
                <w:lang w:val="en-US" w:eastAsia="zh-CN" w:bidi="ar"/>
              </w:rPr>
              <w:t>—</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其中：书刊阅览室面积</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85</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平方米</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其中:组织各类讲座次数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42</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电子阅览室面积</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86</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平方米</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参加人次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43</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900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实际拥有产权面积</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87</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平方米</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举办展览</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44</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28</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二十、阅览室坐席数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88</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参观人次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45</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17400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其中：少儿阅览室坐席数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89</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bdr w:val="none" w:color="auto" w:sz="0" w:space="0"/>
                <w:lang w:val="en-US" w:eastAsia="zh-CN" w:bidi="ar"/>
              </w:rPr>
              <w:t xml:space="preserve">                  </w:t>
            </w:r>
            <w:r>
              <w:rPr>
                <w:rStyle w:val="10"/>
                <w:rFonts w:hAnsi="Times New Roman"/>
                <w:bdr w:val="none" w:color="auto" w:sz="0" w:space="0"/>
                <w:lang w:val="en-US" w:eastAsia="zh-CN" w:bidi="ar"/>
              </w:rPr>
              <w:t>举办培训班</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46</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盲人阅览室坐席数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90</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培训人次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47</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1422</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二十一、志愿者服务队伍数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91</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十二、开展基层培训辅导人次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48</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206</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志愿者服务队伍人数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92</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十三、本单位接受培训人次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49</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184</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二十二、图书馆延伸服务情况</w:t>
            </w:r>
          </w:p>
        </w:tc>
        <w:tc>
          <w:tcPr>
            <w:tcW w:w="35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bdr w:val="none" w:color="auto" w:sz="0" w:space="0"/>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bdr w:val="none" w:color="auto" w:sz="0" w:space="0"/>
                <w:lang w:val="en-US" w:eastAsia="zh-CN" w:bidi="ar"/>
              </w:rPr>
              <w:t>—</w:t>
            </w:r>
          </w:p>
        </w:tc>
        <w:tc>
          <w:tcPr>
            <w:tcW w:w="857" w:type="dxa"/>
            <w:tcBorders>
              <w:top w:val="single" w:color="000000" w:sz="4" w:space="0"/>
              <w:left w:val="single" w:color="000000" w:sz="4" w:space="0"/>
              <w:bottom w:val="single" w:color="000000"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十四、计算机台数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50</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53</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1、流动图书车数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93</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辆</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其中：供读者使用的终端数</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51</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台</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35</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流动服务借阅人次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94</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人次</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10065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十五、图书馆网站访问量</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52</w:t>
            </w:r>
          </w:p>
        </w:tc>
        <w:tc>
          <w:tcPr>
            <w:tcW w:w="64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人次</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2134</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流动服务借阅册次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95</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册次</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22942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十六、本年收入合计</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53</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6261</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2、分馆数量</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96</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597"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1、财政补贴收入</w:t>
            </w:r>
          </w:p>
        </w:tc>
        <w:tc>
          <w:tcPr>
            <w:tcW w:w="9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default" w:ascii="楷体_GB2312" w:hAnsi="宋体" w:eastAsia="楷体_GB2312" w:cs="楷体_GB2312"/>
                <w:i w:val="0"/>
                <w:color w:val="000000"/>
                <w:sz w:val="16"/>
                <w:szCs w:val="16"/>
                <w:u w:val="none"/>
              </w:rPr>
            </w:pP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54</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5033.8</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二十三、文化创意产品种类</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97</w:t>
            </w:r>
          </w:p>
        </w:tc>
        <w:tc>
          <w:tcPr>
            <w:tcW w:w="63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其中：免费开放资金</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55</w:t>
            </w:r>
          </w:p>
        </w:tc>
        <w:tc>
          <w:tcPr>
            <w:tcW w:w="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390</w:t>
            </w:r>
          </w:p>
        </w:tc>
        <w:tc>
          <w:tcPr>
            <w:tcW w:w="2398"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文化创意产品销售收入</w:t>
            </w: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98</w:t>
            </w:r>
          </w:p>
        </w:tc>
        <w:tc>
          <w:tcPr>
            <w:tcW w:w="6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 w:hRule="atLeast"/>
        </w:trPr>
        <w:tc>
          <w:tcPr>
            <w:tcW w:w="2696" w:type="dxa"/>
            <w:gridSpan w:val="2"/>
            <w:tcBorders>
              <w:top w:val="single" w:color="000000" w:sz="4" w:space="0"/>
              <w:left w:val="nil"/>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其中：中央资金</w:t>
            </w:r>
          </w:p>
        </w:tc>
        <w:tc>
          <w:tcPr>
            <w:tcW w:w="359"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56</w:t>
            </w:r>
          </w:p>
        </w:tc>
        <w:tc>
          <w:tcPr>
            <w:tcW w:w="644"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40</w:t>
            </w:r>
          </w:p>
        </w:tc>
        <w:tc>
          <w:tcPr>
            <w:tcW w:w="2398" w:type="dxa"/>
            <w:gridSpan w:val="3"/>
            <w:tcBorders>
              <w:top w:val="single" w:color="000000" w:sz="4"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 xml:space="preserve">        文化创意产品销售利润</w:t>
            </w:r>
          </w:p>
        </w:tc>
        <w:tc>
          <w:tcPr>
            <w:tcW w:w="359"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99</w:t>
            </w:r>
          </w:p>
        </w:tc>
        <w:tc>
          <w:tcPr>
            <w:tcW w:w="632" w:type="dxa"/>
            <w:tcBorders>
              <w:top w:val="single" w:color="000000" w:sz="4" w:space="0"/>
              <w:left w:val="single" w:color="000000" w:sz="4" w:space="0"/>
              <w:bottom w:val="single" w:color="000000" w:sz="8"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千元</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color w:val="000000"/>
                <w:sz w:val="16"/>
                <w:szCs w:val="16"/>
                <w:u w:val="none"/>
              </w:rPr>
            </w:pPr>
            <w:r>
              <w:rPr>
                <w:rFonts w:hint="default" w:ascii="楷体_GB2312" w:hAnsi="宋体" w:eastAsia="楷体_GB2312" w:cs="楷体_GB2312"/>
                <w:i w:val="0"/>
                <w:color w:val="000000"/>
                <w:kern w:val="0"/>
                <w:sz w:val="16"/>
                <w:szCs w:val="16"/>
                <w:u w:val="none"/>
                <w:bdr w:val="none" w:color="auto" w:sz="0" w:space="0"/>
                <w:lang w:val="en-US" w:eastAsia="zh-CN" w:bidi="ar"/>
              </w:rPr>
              <w:t>0</w:t>
            </w:r>
          </w:p>
        </w:tc>
      </w:tr>
    </w:tbl>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sectPr>
      <w:footerReference r:id="rId3" w:type="default"/>
      <w:pgSz w:w="11906" w:h="16838"/>
      <w:pgMar w:top="1440" w:right="1286" w:bottom="1100" w:left="123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D2A61"/>
    <w:multiLevelType w:val="singleLevel"/>
    <w:tmpl w:val="AAED2A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419B8"/>
    <w:rsid w:val="000A3BEB"/>
    <w:rsid w:val="00130922"/>
    <w:rsid w:val="00141D39"/>
    <w:rsid w:val="00243C56"/>
    <w:rsid w:val="003C3E1A"/>
    <w:rsid w:val="003F5FF1"/>
    <w:rsid w:val="005133C4"/>
    <w:rsid w:val="0066447E"/>
    <w:rsid w:val="00754217"/>
    <w:rsid w:val="0090532B"/>
    <w:rsid w:val="00A037F9"/>
    <w:rsid w:val="00B25C0A"/>
    <w:rsid w:val="00D41FF5"/>
    <w:rsid w:val="00EA4846"/>
    <w:rsid w:val="00F110B9"/>
    <w:rsid w:val="00F22E5A"/>
    <w:rsid w:val="021823BE"/>
    <w:rsid w:val="024135BE"/>
    <w:rsid w:val="06DE680A"/>
    <w:rsid w:val="06EB3E9C"/>
    <w:rsid w:val="07512514"/>
    <w:rsid w:val="07BF174F"/>
    <w:rsid w:val="07F549FD"/>
    <w:rsid w:val="09E507EF"/>
    <w:rsid w:val="0CA871B9"/>
    <w:rsid w:val="0E737EF3"/>
    <w:rsid w:val="0EF97AB8"/>
    <w:rsid w:val="0F057837"/>
    <w:rsid w:val="10951245"/>
    <w:rsid w:val="10AE4CB9"/>
    <w:rsid w:val="1335777A"/>
    <w:rsid w:val="13606069"/>
    <w:rsid w:val="13D13928"/>
    <w:rsid w:val="140968B0"/>
    <w:rsid w:val="144967BE"/>
    <w:rsid w:val="14B2770D"/>
    <w:rsid w:val="15AA44EE"/>
    <w:rsid w:val="166F73A6"/>
    <w:rsid w:val="192C45F8"/>
    <w:rsid w:val="199E5744"/>
    <w:rsid w:val="1AF1523F"/>
    <w:rsid w:val="1BFD7721"/>
    <w:rsid w:val="1E6850D3"/>
    <w:rsid w:val="20077B36"/>
    <w:rsid w:val="205E53A3"/>
    <w:rsid w:val="238874D8"/>
    <w:rsid w:val="26576A8F"/>
    <w:rsid w:val="293B6E95"/>
    <w:rsid w:val="29A12478"/>
    <w:rsid w:val="2B2C248A"/>
    <w:rsid w:val="2D6F0F79"/>
    <w:rsid w:val="2DDC092D"/>
    <w:rsid w:val="2E0B33EF"/>
    <w:rsid w:val="2E877CE8"/>
    <w:rsid w:val="2F013137"/>
    <w:rsid w:val="2F1B4ADA"/>
    <w:rsid w:val="3088158E"/>
    <w:rsid w:val="31854F22"/>
    <w:rsid w:val="322D12AB"/>
    <w:rsid w:val="33A87AE6"/>
    <w:rsid w:val="37472FCF"/>
    <w:rsid w:val="38B04213"/>
    <w:rsid w:val="3D1335EA"/>
    <w:rsid w:val="3E1A2737"/>
    <w:rsid w:val="40B47E56"/>
    <w:rsid w:val="421C5823"/>
    <w:rsid w:val="43B90349"/>
    <w:rsid w:val="440B3AB3"/>
    <w:rsid w:val="44810EBD"/>
    <w:rsid w:val="4584285B"/>
    <w:rsid w:val="46C977B4"/>
    <w:rsid w:val="48311CCF"/>
    <w:rsid w:val="48B0261D"/>
    <w:rsid w:val="492D7CF9"/>
    <w:rsid w:val="4A151AF9"/>
    <w:rsid w:val="4FCA16B0"/>
    <w:rsid w:val="50A2344D"/>
    <w:rsid w:val="50CA4FD5"/>
    <w:rsid w:val="51346557"/>
    <w:rsid w:val="519535D3"/>
    <w:rsid w:val="53715BB5"/>
    <w:rsid w:val="546B14E5"/>
    <w:rsid w:val="558419B8"/>
    <w:rsid w:val="56192813"/>
    <w:rsid w:val="580F37B9"/>
    <w:rsid w:val="58A771DF"/>
    <w:rsid w:val="5A2469F6"/>
    <w:rsid w:val="5BDC0FB1"/>
    <w:rsid w:val="5BE6457B"/>
    <w:rsid w:val="5CED326E"/>
    <w:rsid w:val="5E515D53"/>
    <w:rsid w:val="5EBD4987"/>
    <w:rsid w:val="60784DFC"/>
    <w:rsid w:val="609E6C17"/>
    <w:rsid w:val="623D40C8"/>
    <w:rsid w:val="65FC2343"/>
    <w:rsid w:val="66777597"/>
    <w:rsid w:val="669D3CD6"/>
    <w:rsid w:val="6C6C4D14"/>
    <w:rsid w:val="6F405D88"/>
    <w:rsid w:val="7286258F"/>
    <w:rsid w:val="736361C1"/>
    <w:rsid w:val="76197D16"/>
    <w:rsid w:val="77946D4D"/>
    <w:rsid w:val="78E77373"/>
    <w:rsid w:val="7DD3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4" w:beforeLines="0" w:after="104" w:afterLines="0"/>
      <w:outlineLvl w:val="2"/>
    </w:p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font112"/>
    <w:basedOn w:val="7"/>
    <w:uiPriority w:val="0"/>
    <w:rPr>
      <w:rFonts w:hint="default" w:ascii="楷体_GB2312" w:eastAsia="楷体_GB2312" w:cs="楷体_GB2312"/>
      <w:color w:val="000000"/>
      <w:sz w:val="15"/>
      <w:szCs w:val="15"/>
      <w:u w:val="none"/>
    </w:rPr>
  </w:style>
  <w:style w:type="character" w:customStyle="1" w:styleId="9">
    <w:name w:val="font01"/>
    <w:basedOn w:val="7"/>
    <w:uiPriority w:val="0"/>
    <w:rPr>
      <w:rFonts w:hint="default" w:ascii="楷体_GB2312" w:eastAsia="楷体_GB2312" w:cs="楷体_GB2312"/>
      <w:color w:val="000000"/>
      <w:sz w:val="16"/>
      <w:szCs w:val="16"/>
      <w:u w:val="single"/>
    </w:rPr>
  </w:style>
  <w:style w:type="character" w:customStyle="1" w:styleId="10">
    <w:name w:val="font101"/>
    <w:basedOn w:val="7"/>
    <w:uiPriority w:val="0"/>
    <w:rPr>
      <w:rFonts w:hint="default" w:ascii="楷体_GB2312" w:eastAsia="楷体_GB2312" w:cs="楷体_GB2312"/>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3719</Words>
  <Characters>171</Characters>
  <Lines>1</Lines>
  <Paragraphs>7</Paragraphs>
  <TotalTime>17</TotalTime>
  <ScaleCrop>false</ScaleCrop>
  <LinksUpToDate>false</LinksUpToDate>
  <CharactersWithSpaces>3883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2017-10-26T02:35:00Z</dcterms:created>
  <dc:creator>Administrator</dc:creator>
  <cp:lastModifiedBy>admin</cp:lastModifiedBy>
  <dcterms:modified xsi:type="dcterms:W3CDTF">2022-08-19T11:51:36Z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